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WEN HUAXIN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Waton Financial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WTF</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STES 3605-06, 36F, TOWER 6, THE GATEWAY</w:t>
      </w:r>
    </w:p>
    <w:p>
      <w:pPr>
        <w:spacing w:after="0" w:line="13"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HARBOUR CITY, TSIM SHA TSUI, KOWLOON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688,458</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w w:val="99"/>
              </w:rPr>
              <w:t>By WATON ESOP PLAN LTD</w:t>
            </w:r>
            <w:r>
              <w:rPr>
                <w:rFonts w:ascii="Times New Roman" w:cs="Times New Roman" w:eastAsia="Times New Roman" w:hAnsi="Times New Roman"/>
                <w:sz w:val="25"/>
                <w:szCs w:val="25"/>
                <w:color w:val="008000"/>
                <w:w w:val="99"/>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688,458 Ordinary Shares issued upon the vesting and exercise of the restricted share units granted under Waton Financial Limited's 2024 Global Equity Incentive Plan, which will be held under the 2024 Global Equity Incentive Plan Trust during the mandatory two-year lock-up period. As of the date of this filing, Mr. Wen Huaxin has completed the share transfer of 688,458 Ordinary Shares to WATON ESOP PLAN LTD. Mr. Wen Huaxin retains rights to vote, receive notices of meetings or rights to dividends or other distributions in respect of the Ordinary Shares during the mandatory lock-up period, and is the beneficial owner of the Ordinary Shares pursuant to Rule 13d-3 under the Securities Exchange Act of 1934, as amended.</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Wen Huaxin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3634" TargetMode="External"/><Relationship Id="rId11" Type="http://schemas.openxmlformats.org/officeDocument/2006/relationships/hyperlink" Target="http://www.sec.gov/cgi-bin/browse-edgar?action=getcompany&amp;CIK=00019873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2026-04-01T13:38:49Z</dcterms:created>
  <dcterms:modified xsi:type="dcterms:W3CDTF">2026-04-01T13:38:49Z</dcterms:modified>
</cp:coreProperties>
</file>