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11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11429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ZHOU KAI</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03/18/2026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Waton Financial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WTF</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197"/>
        <w:spacing w:after="0" w:line="275" w:lineRule="auto"/>
        <w:rPr>
          <w:sz w:val="20"/>
          <w:szCs w:val="20"/>
          <w:color w:val="auto"/>
        </w:rPr>
      </w:pPr>
      <w:r>
        <w:rPr>
          <w:rFonts w:ascii="Times New Roman" w:cs="Times New Roman" w:eastAsia="Times New Roman" w:hAnsi="Times New Roman"/>
          <w:sz w:val="20"/>
          <w:szCs w:val="20"/>
          <w:color w:val="0000FF"/>
        </w:rPr>
        <w:t>STES 3605-06, 36F, TOWER 6, THE GATEWAY</w:t>
      </w:r>
    </w:p>
    <w:p>
      <w:pPr>
        <w:spacing w:after="0" w:line="13" w:lineRule="exact"/>
        <w:rPr>
          <w:sz w:val="24"/>
          <w:szCs w:val="24"/>
          <w:color w:val="auto"/>
        </w:rPr>
      </w:pPr>
    </w:p>
    <w:p>
      <w:pPr>
        <w:ind w:left="140" w:right="1177"/>
        <w:spacing w:after="0" w:line="275" w:lineRule="auto"/>
        <w:rPr>
          <w:sz w:val="20"/>
          <w:szCs w:val="20"/>
          <w:color w:val="auto"/>
        </w:rPr>
      </w:pPr>
      <w:r>
        <w:rPr>
          <w:rFonts w:ascii="Times New Roman" w:cs="Times New Roman" w:eastAsia="Times New Roman" w:hAnsi="Times New Roman"/>
          <w:sz w:val="20"/>
          <w:szCs w:val="20"/>
          <w:color w:val="0000FF"/>
        </w:rPr>
        <w:t>HARBOUR CITY, TSIM SHA TSUI, KOWLOON</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HONG</w:t>
            </w:r>
          </w:p>
        </w:tc>
        <w:tc>
          <w:tcPr>
            <w:tcW w:w="88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K3</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00000</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KONG</w:t>
            </w:r>
          </w:p>
        </w:tc>
        <w:tc>
          <w:tcPr>
            <w:tcW w:w="8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63"/>
        <w:spacing w:after="0"/>
        <w:rPr>
          <w:sz w:val="20"/>
          <w:szCs w:val="20"/>
          <w:color w:val="auto"/>
        </w:rPr>
      </w:pPr>
      <w:r>
        <w:rPr>
          <w:rFonts w:ascii="Times New Roman" w:cs="Times New Roman" w:eastAsia="Times New Roman" w:hAnsi="Times New Roman"/>
          <w:sz w:val="20"/>
          <w:szCs w:val="20"/>
          <w:color w:val="0000FF"/>
        </w:rPr>
        <w:t>Chief Technology Officer</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1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7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900" w:type="dxa"/>
            <w:vAlign w:val="bottom"/>
          </w:tcPr>
          <w:p>
            <w:pPr>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line="165" w:lineRule="exact"/>
              <w:rPr>
                <w:sz w:val="20"/>
                <w:szCs w:val="20"/>
                <w:color w:val="auto"/>
              </w:rPr>
            </w:pPr>
            <w:r>
              <w:rPr>
                <w:rFonts w:ascii="Arial" w:cs="Arial" w:eastAsia="Arial" w:hAnsi="Arial"/>
                <w:sz w:val="15"/>
                <w:szCs w:val="15"/>
                <w:b w:val="1"/>
                <w:bCs w:val="1"/>
                <w:color w:val="auto"/>
              </w:rPr>
              <w:t>4)</w:t>
            </w: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00" w:type="dxa"/>
            <w:vAlign w:val="bottom"/>
            <w:vMerge w:val="restart"/>
          </w:tcPr>
          <w:p>
            <w:pPr>
              <w:ind w:left="520"/>
              <w:spacing w:after="0"/>
              <w:rPr>
                <w:sz w:val="20"/>
                <w:szCs w:val="20"/>
                <w:color w:val="auto"/>
              </w:rPr>
            </w:pPr>
            <w:r>
              <w:rPr>
                <w:rFonts w:ascii="Times New Roman" w:cs="Times New Roman" w:eastAsia="Times New Roman" w:hAnsi="Times New Roman"/>
                <w:sz w:val="20"/>
                <w:szCs w:val="20"/>
                <w:color w:val="0000FF"/>
              </w:rPr>
              <w:t>40,980,000</w:t>
            </w:r>
          </w:p>
        </w:tc>
        <w:tc>
          <w:tcPr>
            <w:tcW w:w="660" w:type="dxa"/>
            <w:vAlign w:val="bottom"/>
          </w:tcPr>
          <w:p>
            <w:pPr>
              <w:spacing w:after="0"/>
              <w:rPr>
                <w:sz w:val="24"/>
                <w:szCs w:val="24"/>
                <w:color w:val="auto"/>
              </w:rPr>
            </w:pP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I</w:t>
            </w: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By WATON CORPORATION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90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LIMITED</w:t>
            </w:r>
            <w:r>
              <w:rPr>
                <w:rFonts w:ascii="Times New Roman" w:cs="Times New Roman" w:eastAsia="Times New Roman" w:hAnsi="Times New Roman"/>
                <w:sz w:val="25"/>
                <w:szCs w:val="25"/>
                <w:color w:val="008000"/>
                <w:vertAlign w:val="superscript"/>
              </w:rPr>
              <w:t>(1)(2)</w:t>
            </w:r>
          </w:p>
        </w:tc>
        <w:tc>
          <w:tcPr>
            <w:tcW w:w="1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20" w:type="dxa"/>
            <w:vAlign w:val="bottom"/>
            <w:tcBorders>
              <w:bottom w:val="single" w:sz="8" w:color="2C2C2C"/>
            </w:tcBorders>
          </w:tcPr>
          <w:p>
            <w:pPr>
              <w:spacing w:after="0"/>
              <w:rPr>
                <w:sz w:val="20"/>
                <w:szCs w:val="20"/>
                <w:color w:val="auto"/>
              </w:rPr>
            </w:pPr>
          </w:p>
        </w:tc>
        <w:tc>
          <w:tcPr>
            <w:tcW w:w="276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98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190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1280" w:type="dxa"/>
            <w:vAlign w:val="bottom"/>
            <w:tcBorders>
              <w:bottom w:val="single" w:sz="8" w:color="2C2C2C"/>
            </w:tcBorders>
            <w:gridSpan w:val="2"/>
            <w:vMerge w:val="continue"/>
          </w:tcPr>
          <w:p>
            <w:pPr>
              <w:spacing w:after="0"/>
              <w:rPr>
                <w:sz w:val="20"/>
                <w:szCs w:val="20"/>
                <w:color w:val="auto"/>
              </w:rPr>
            </w:pPr>
          </w:p>
        </w:tc>
        <w:tc>
          <w:tcPr>
            <w:tcW w:w="14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7"/>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25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Arial" w:cs="Arial" w:eastAsia="Arial" w:hAnsi="Arial"/>
                <w:sz w:val="15"/>
                <w:szCs w:val="15"/>
                <w:b w:val="1"/>
                <w:bCs w:val="1"/>
                <w:color w:val="auto"/>
                <w:w w:val="99"/>
              </w:rPr>
              <w:t>2. Date Exercisable and</w:t>
            </w:r>
          </w:p>
        </w:tc>
        <w:tc>
          <w:tcPr>
            <w:tcW w:w="2560" w:type="dxa"/>
            <w:vAlign w:val="bottom"/>
            <w:gridSpan w:val="2"/>
          </w:tcPr>
          <w:p>
            <w:pPr>
              <w:ind w:left="180"/>
              <w:spacing w:after="0"/>
              <w:rPr>
                <w:sz w:val="20"/>
                <w:szCs w:val="20"/>
                <w:color w:val="auto"/>
              </w:rPr>
            </w:pPr>
            <w:r>
              <w:rPr>
                <w:rFonts w:ascii="Arial" w:cs="Arial" w:eastAsia="Arial" w:hAnsi="Arial"/>
                <w:sz w:val="15"/>
                <w:szCs w:val="15"/>
                <w:b w:val="1"/>
                <w:bCs w:val="1"/>
                <w:color w:val="auto"/>
              </w:rPr>
              <w:t>3. Title and Amount of Securities</w:t>
            </w:r>
          </w:p>
        </w:tc>
        <w:tc>
          <w:tcPr>
            <w:tcW w:w="700" w:type="dxa"/>
            <w:vAlign w:val="bottom"/>
            <w:gridSpan w:val="2"/>
          </w:tcPr>
          <w:p>
            <w:pPr>
              <w:ind w:left="14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(Instr. 4)</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660" w:type="dxa"/>
            <w:vAlign w:val="bottom"/>
            <w:vMerge w:val="restart"/>
          </w:tcPr>
          <w:p>
            <w:pPr>
              <w:ind w:left="8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26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6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900" w:type="dxa"/>
            <w:vAlign w:val="bottom"/>
          </w:tcPr>
          <w:p>
            <w:pPr>
              <w:ind w:left="180"/>
              <w:spacing w:after="0"/>
              <w:rPr>
                <w:sz w:val="20"/>
                <w:szCs w:val="20"/>
                <w:color w:val="auto"/>
              </w:rPr>
            </w:pPr>
            <w:r>
              <w:rPr>
                <w:rFonts w:ascii="Arial" w:cs="Arial" w:eastAsia="Arial" w:hAnsi="Arial"/>
                <w:sz w:val="15"/>
                <w:szCs w:val="15"/>
                <w:b w:val="1"/>
                <w:bCs w:val="1"/>
                <w:color w:val="auto"/>
              </w:rPr>
              <w:t>Title</w:t>
            </w:r>
          </w:p>
        </w:tc>
        <w:tc>
          <w:tcPr>
            <w:tcW w:w="660" w:type="dxa"/>
            <w:vAlign w:val="bottom"/>
          </w:tcPr>
          <w:p>
            <w:pPr>
              <w:ind w:left="8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are held by WATON CORPORATION LIMITED ("Waton Corporation"), an exempted company incorporated in the Cayman Islands, of which approximately</w:t>
      </w:r>
    </w:p>
    <w:p>
      <w:pPr>
        <w:spacing w:after="0" w:line="8" w:lineRule="exact"/>
        <w:rPr>
          <w:rFonts w:ascii="Times New Roman" w:cs="Times New Roman" w:eastAsia="Times New Roman" w:hAnsi="Times New Roman"/>
          <w:sz w:val="15"/>
          <w:szCs w:val="15"/>
          <w:color w:val="008000"/>
        </w:rPr>
      </w:pPr>
    </w:p>
    <w:p>
      <w:pPr>
        <w:ind w:left="40" w:right="80"/>
        <w:spacing w:after="0" w:line="233" w:lineRule="auto"/>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47.70% are held by TRIUMPH TEAM ASSETS LIMITED ("Triumph Team Assets") and approximately 9.40% are held by WATON ESOP HOLDINGS LTD ("Waton ESOP Holdings"). Each of Triumph Team Assets and Waton ESOP Holdings is 100% owned by TZed Holding Group Ltd. ("TZed Holding"). Waton Financial Limited's Chairman of the Board of Directors, and Chief Technology Officer, Mr. Zhou Kai, is the sole director of Waton Corporation and 100% owner of each of Triumph Team Assets, Waton ESOP Holdings and TZed Holding. Mr. Zhou Kai holds the voting powers (and dispositive powers) over the Ordinary Shares held by Waton Corporation. The registered address of Waton Corporation is Harneys Fiduciary (Cayman) Limited, 4th Floor, Harbour Place, 103 South Church Street, P.O. Box 10240, Grand Cayman KY1-1002, Cayman Islands.</w:t>
      </w:r>
    </w:p>
    <w:p>
      <w:pPr>
        <w:spacing w:after="0" w:line="32" w:lineRule="exact"/>
        <w:rPr>
          <w:rFonts w:ascii="Times New Roman" w:cs="Times New Roman" w:eastAsia="Times New Roman" w:hAnsi="Times New Roman"/>
          <w:sz w:val="15"/>
          <w:szCs w:val="15"/>
          <w:color w:val="008000"/>
        </w:rPr>
      </w:pPr>
    </w:p>
    <w:p>
      <w:pPr>
        <w:ind w:left="40" w:right="16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registered address of each of Triumph Team Assets and Waton Esop Holdings is Harneys Corporate Services Limited, Craigmuir Chambers, Road Town, Tortola, VG 1110, British Virgin Islands. The registered address of TZed Holding is Start Chambers, Wickhams Cayt II, P.O. Box 2221, Road Town, Tortola, British Virgin Islands.</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Zhou Kai</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0" Type="http://schemas.openxmlformats.org/officeDocument/2006/relationships/hyperlink" Target="http://www.sec.gov/cgi-bin/browse-edgar?action=getcompany&amp;CIK=0002083073" TargetMode="External"/><Relationship Id="rId11" Type="http://schemas.openxmlformats.org/officeDocument/2006/relationships/hyperlink" Target="http://www.sec.gov/cgi-bin/browse-edgar?action=getcompany&amp;CIK=00019873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2026-03-18T05:23:27Z</dcterms:created>
  <dcterms:modified xsi:type="dcterms:W3CDTF">2026-03-18T05:23:27Z</dcterms:modified>
</cp:coreProperties>
</file>