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hyperlink w:anchor="TOC">
        <w:bookmarkStart w:id="0" w:name="ny20075344x1_posam_100-regcov_pg1"/>
        <w:bookmarkEnd w:id="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519"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As filed with the U.S. Securities and Exchange Commission on June 9, 2026. </w:t>
      </w:r>
    </w:p>
    <w:p>
      <w:pPr>
        <w:pStyle w:val="TextBody"/>
        <w:bidi w:val="0"/>
        <w:spacing w:before="0" w:after="283"/>
        <w:jc w:val="righ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Registration No. 333-291557 </w:t>
      </w:r>
    </w:p>
    <w:p>
      <w:pPr>
        <w:pStyle w:val="TextBody"/>
        <w:bidi w:val="0"/>
        <w:spacing w:before="190" w:after="283"/>
        <w:ind w:left="0" w:right="0" w:hanging="0"/>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UNITED STATES</w:t>
      </w:r>
    </w:p>
    <w:p>
      <w:pPr>
        <w:pStyle w:val="TextBody"/>
        <w:bidi w:val="0"/>
        <w:spacing w:before="0" w:after="283"/>
        <w:jc w:val="center"/>
        <w:rPr>
          <w:rFonts w:ascii="Times New Roman;Times;serif" w:hAnsi="Times New Roman;Times;serif"/>
          <w:b/>
          <w:color w:val="000000"/>
          <w:sz w:val="28"/>
          <w:shd w:fill="FFFFFF" w:val="clear"/>
        </w:rPr>
      </w:pPr>
      <w:r>
        <w:rPr>
          <w:rFonts w:ascii="Times New Roman;Times;serif" w:hAnsi="Times New Roman;Times;serif"/>
          <w:b/>
          <w:color w:val="000000"/>
          <w:sz w:val="28"/>
          <w:shd w:fill="FFFFFF" w:val="clear"/>
        </w:rPr>
        <w:t>SECURITIES AND EXCHANGE COMMISSION</w:t>
      </w:r>
    </w:p>
    <w:p>
      <w:pPr>
        <w:pStyle w:val="TextBody"/>
        <w:bidi w:val="0"/>
        <w:spacing w:before="0" w:after="283"/>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Washington, D.C. 20549</w:t>
      </w:r>
    </w:p>
    <w:p>
      <w:pPr>
        <w:pStyle w:val="TextBody"/>
        <w:bidi w:val="0"/>
        <w:spacing w:before="130" w:after="283"/>
        <w:jc w:val="center"/>
        <w:rPr>
          <w:rFonts w:ascii="Times New Roman;Times;serif" w:hAnsi="Times New Roman;Times;serif"/>
          <w:b/>
          <w:color w:val="000000"/>
          <w:sz w:val="30"/>
          <w:shd w:fill="FFFFFF" w:val="clear"/>
        </w:rPr>
      </w:pPr>
      <w:r>
        <w:rPr>
          <w:rFonts w:ascii="Times New Roman;Times;serif" w:hAnsi="Times New Roman;Times;serif"/>
          <w:b/>
          <w:color w:val="000000"/>
          <w:sz w:val="30"/>
          <w:shd w:fill="FFFFFF" w:val="clear"/>
        </w:rPr>
        <w:t xml:space="preserve">Post-Effective Amendment No. 2 </w:t>
      </w:r>
    </w:p>
    <w:p>
      <w:pPr>
        <w:pStyle w:val="TextBody"/>
        <w:bidi w:val="0"/>
        <w:spacing w:before="0" w:after="283"/>
        <w:jc w:val="center"/>
        <w:rPr>
          <w:rFonts w:ascii="Times New Roman;Times;serif" w:hAnsi="Times New Roman;Times;serif"/>
          <w:b/>
          <w:color w:val="000000"/>
          <w:sz w:val="30"/>
          <w:shd w:fill="FFFFFF" w:val="clear"/>
        </w:rPr>
      </w:pPr>
      <w:r>
        <w:rPr>
          <w:rFonts w:ascii="Times New Roman;Times;serif" w:hAnsi="Times New Roman;Times;serif"/>
          <w:b/>
          <w:color w:val="000000"/>
          <w:sz w:val="30"/>
          <w:shd w:fill="FFFFFF" w:val="clear"/>
        </w:rPr>
        <w:t xml:space="preserve">To </w:t>
      </w:r>
    </w:p>
    <w:p>
      <w:pPr>
        <w:pStyle w:val="TextBody"/>
        <w:bidi w:val="0"/>
        <w:spacing w:before="0" w:after="283"/>
        <w:jc w:val="center"/>
        <w:rPr>
          <w:rFonts w:ascii="Times New Roman;Times;serif" w:hAnsi="Times New Roman;Times;serif"/>
          <w:b/>
          <w:color w:val="000000"/>
          <w:sz w:val="30"/>
          <w:shd w:fill="FFFFFF" w:val="clear"/>
        </w:rPr>
      </w:pPr>
      <w:r>
        <w:rPr>
          <w:rFonts w:ascii="Times New Roman;Times;serif" w:hAnsi="Times New Roman;Times;serif"/>
          <w:b/>
          <w:color w:val="000000"/>
          <w:sz w:val="30"/>
          <w:shd w:fill="FFFFFF" w:val="clear"/>
        </w:rPr>
        <w:t xml:space="preserve">FORM F-1 </w:t>
      </w:r>
    </w:p>
    <w:p>
      <w:pPr>
        <w:pStyle w:val="TextBody"/>
        <w:bidi w:val="0"/>
        <w:spacing w:before="0" w:after="283"/>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REGISTRATION STATEMENT</w:t>
      </w:r>
    </w:p>
    <w:p>
      <w:pPr>
        <w:pStyle w:val="TextBody"/>
        <w:bidi w:val="0"/>
        <w:spacing w:before="0" w:after="283"/>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UNDER</w:t>
      </w:r>
    </w:p>
    <w:p>
      <w:pPr>
        <w:pStyle w:val="TextBody"/>
        <w:bidi w:val="0"/>
        <w:spacing w:before="0" w:after="283"/>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THE SECURITIES ACT OF 1933</w:t>
      </w:r>
    </w:p>
    <w:p>
      <w:pPr>
        <w:pStyle w:val="TextBody"/>
        <w:bidi w:val="0"/>
        <w:spacing w:before="120" w:after="283"/>
        <w:jc w:val="center"/>
        <w:rPr>
          <w:rFonts w:ascii="Times New Roman;Times;serif" w:hAnsi="Times New Roman;Times;serif"/>
          <w:b/>
          <w:color w:val="000000"/>
          <w:sz w:val="40"/>
          <w:shd w:fill="FFFFFF" w:val="clear"/>
        </w:rPr>
      </w:pPr>
      <w:r>
        <w:rPr>
          <w:rFonts w:ascii="Times New Roman;Times;serif" w:hAnsi="Times New Roman;Times;serif"/>
          <w:b/>
          <w:color w:val="000000"/>
          <w:sz w:val="40"/>
          <w:shd w:fill="FFFFFF" w:val="clear"/>
        </w:rPr>
        <w:t xml:space="preserve">Waton Financial Limited  </w:t>
      </w:r>
    </w:p>
    <w:p>
      <w:pPr>
        <w:pStyle w:val="TextBody"/>
        <w:bidi w:val="0"/>
        <w:spacing w:before="0" w:after="283"/>
        <w:jc w:val="center"/>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 xml:space="preserve">(Exact name of Registrant as specified in its charter) </w:t>
      </w:r>
    </w:p>
    <w:tbl>
      <w:tblPr>
        <w:tblW w:w="7325" w:type="dxa"/>
        <w:jc w:val="left"/>
        <w:tblInd w:w="0" w:type="dxa"/>
        <w:tblLayout w:type="fixed"/>
        <w:tblCellMar>
          <w:top w:w="0" w:type="dxa"/>
          <w:left w:w="0" w:type="dxa"/>
          <w:bottom w:w="0" w:type="dxa"/>
          <w:right w:w="0" w:type="dxa"/>
        </w:tblCellMar>
      </w:tblPr>
      <w:tblGrid>
        <w:gridCol w:w="2495"/>
        <w:gridCol w:w="140"/>
        <w:gridCol w:w="140"/>
        <w:gridCol w:w="2375"/>
        <w:gridCol w:w="140"/>
        <w:gridCol w:w="140"/>
        <w:gridCol w:w="1895"/>
      </w:tblGrid>
      <w:tr>
        <w:trPr/>
        <w:tc>
          <w:tcPr>
            <w:tcW w:w="2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4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British Virgin Islands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6200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 Applicable </w:t>
            </w:r>
          </w:p>
        </w:tc>
      </w:tr>
      <w:tr>
        <w:trPr/>
        <w:tc>
          <w:tcPr>
            <w:tcW w:w="24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(State or other jurisdiction of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incorporation or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(Primary Standard Industrial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Classification Code 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(I.R.S. Employer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Identification Number)</w:t>
            </w:r>
          </w:p>
        </w:tc>
      </w:tr>
      <w:tr>
        <w:trPr/>
        <w:tc>
          <w:tcPr>
            <w:tcW w:w="2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TextBody"/>
        <w:bidi w:val="0"/>
        <w:spacing w:before="6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Suites 3605-06, 36th Floor,</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Tower 6, The Gateway,</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Harbour City, Tsim Sha Tsui,</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Kowloon, Hong Kong</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Tel: +852 2853 1818</w:t>
      </w:r>
    </w:p>
    <w:p>
      <w:pPr>
        <w:pStyle w:val="TextBody"/>
        <w:bidi w:val="0"/>
        <w:spacing w:before="0" w:after="283"/>
        <w:jc w:val="center"/>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 xml:space="preserve">(Address, including zip code, and telephone number, including area code, of Registrant’s principal executive office) </w:t>
      </w:r>
    </w:p>
    <w:p>
      <w:pPr>
        <w:pStyle w:val="TextBody"/>
        <w:bidi w:val="0"/>
        <w:spacing w:before="10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Cogency Global Inc.</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122 East 42</w:t>
      </w:r>
      <w:r>
        <w:rPr>
          <w:rFonts w:ascii="Times New Roman;Times;serif" w:hAnsi="Times New Roman;Times;serif"/>
          <w:b/>
          <w:color w:val="000000"/>
          <w:position w:val="7"/>
          <w:sz w:val="16"/>
          <w:sz w:val="20"/>
          <w:shd w:fill="FFFFFF" w:val="clear"/>
        </w:rPr>
        <w:t>nd</w:t>
      </w:r>
      <w:r>
        <w:rPr>
          <w:rFonts w:ascii="Times New Roman;Times;serif" w:hAnsi="Times New Roman;Times;serif"/>
          <w:b/>
          <w:color w:val="000000"/>
          <w:sz w:val="20"/>
          <w:shd w:fill="FFFFFF" w:val="clear"/>
        </w:rPr>
        <w:t xml:space="preserve"> Street, 18</w:t>
      </w:r>
      <w:r>
        <w:rPr>
          <w:rFonts w:ascii="Times New Roman;Times;serif" w:hAnsi="Times New Roman;Times;serif"/>
          <w:b/>
          <w:color w:val="000000"/>
          <w:position w:val="7"/>
          <w:sz w:val="16"/>
          <w:sz w:val="20"/>
          <w:shd w:fill="FFFFFF" w:val="clear"/>
        </w:rPr>
        <w:t>th</w:t>
      </w:r>
      <w:r>
        <w:rPr>
          <w:rFonts w:ascii="Times New Roman;Times;serif" w:hAnsi="Times New Roman;Times;serif"/>
          <w:b/>
          <w:color w:val="000000"/>
          <w:sz w:val="20"/>
          <w:shd w:fill="FFFFFF" w:val="clear"/>
        </w:rPr>
        <w:t xml:space="preserve"> Floor</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New York, NY 10168</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(800) 221-0102</w:t>
      </w:r>
    </w:p>
    <w:p>
      <w:pPr>
        <w:pStyle w:val="TextBody"/>
        <w:bidi w:val="0"/>
        <w:spacing w:before="0" w:after="283"/>
        <w:jc w:val="center"/>
        <w:rPr>
          <w:rFonts w:ascii="Times New Roman;Times;serif" w:hAnsi="Times New Roman;Times;serif"/>
          <w:b w:val="false"/>
          <w:color w:val="000000"/>
          <w:sz w:val="20"/>
          <w:shd w:fill="FFFFFF" w:val="clear"/>
        </w:rPr>
      </w:pPr>
      <w:r>
        <w:rPr>
          <w:rFonts w:ascii="Times New Roman;Times;serif" w:hAnsi="Times New Roman;Times;serif"/>
          <w:b w:val="false"/>
          <w:color w:val="000000"/>
          <w:sz w:val="20"/>
          <w:shd w:fill="FFFFFF" w:val="clear"/>
        </w:rPr>
        <w:t xml:space="preserve">(Name, address, including zip code, and telephone number, including area code, of agent for service) </w:t>
      </w:r>
    </w:p>
    <w:p>
      <w:pPr>
        <w:pStyle w:val="TextBody"/>
        <w:bidi w:val="0"/>
        <w:spacing w:before="100" w:after="283"/>
        <w:jc w:val="center"/>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With a Copy to:</w:t>
      </w:r>
      <w:r>
        <w:rPr>
          <w:rFonts w:ascii="Times New Roman;Times;serif" w:hAnsi="Times New Roman;Times;serif"/>
          <w:b/>
          <w:i/>
          <w:caps w:val="false"/>
          <w:smallCaps w:val="false"/>
          <w:color w:val="000000"/>
          <w:sz w:val="20"/>
          <w:shd w:fill="FFFFFF" w:val="clear"/>
        </w:rPr>
        <w:t xml:space="preserve"> </w:t>
      </w:r>
    </w:p>
    <w:tbl>
      <w:tblPr>
        <w:tblW w:w="6050" w:type="dxa"/>
        <w:jc w:val="left"/>
        <w:tblInd w:w="0" w:type="dxa"/>
        <w:tblLayout w:type="fixed"/>
        <w:tblCellMar>
          <w:top w:w="0" w:type="dxa"/>
          <w:left w:w="0" w:type="dxa"/>
          <w:bottom w:w="0" w:type="dxa"/>
          <w:right w:w="0" w:type="dxa"/>
        </w:tblCellMar>
      </w:tblPr>
      <w:tblGrid>
        <w:gridCol w:w="3125"/>
        <w:gridCol w:w="140"/>
        <w:gridCol w:w="140"/>
        <w:gridCol w:w="2645"/>
      </w:tblGrid>
      <w:tr>
        <w:trPr/>
        <w:tc>
          <w:tcPr>
            <w:tcW w:w="3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0"/>
              <w:jc w:val="left"/>
              <w:rPr/>
            </w:pPr>
            <w:r>
              <w:rPr/>
              <w:t> </w:t>
            </w:r>
          </w:p>
        </w:tc>
      </w:tr>
      <w:tr>
        <w:trPr/>
        <w:tc>
          <w:tcPr>
            <w:tcW w:w="312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Ying Li, Esq.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Lisa Forcht, Esq.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Hunter Taubman Fischer &amp; Li LLC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950 Third Avenue, 19th Floor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New York, NY 10022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212-530-2206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Anthony W. Basch, Esq.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Alexander W. Powell Jr., Esq.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Chunyan Shuai, Esq.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Kaufman &amp; Canoles P.C.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Two James Center, 14th Floor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1021 East Cary Street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Richmond, Virginia 23219</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804-771-5700</w:t>
            </w:r>
          </w:p>
        </w:tc>
      </w:tr>
      <w:tr>
        <w:trPr/>
        <w:tc>
          <w:tcPr>
            <w:tcW w:w="31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0"/>
              <w:jc w:val="left"/>
              <w:rPr/>
            </w:pPr>
            <w:r>
              <w:rPr/>
              <w:t> </w:t>
            </w:r>
          </w:p>
        </w:tc>
      </w:tr>
    </w:tbl>
    <w:p>
      <w:pPr>
        <w:pStyle w:val="TextBody"/>
        <w:bidi w:val="0"/>
        <w:spacing w:before="100" w:after="283"/>
        <w:ind w:left="0" w:right="0" w:hanging="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Approximate date of commencement of proposed sale to the public: </w:t>
      </w:r>
      <w:r>
        <w:rPr>
          <w:rFonts w:ascii="Times New Roman;Times;serif" w:hAnsi="Times New Roman;Times;serif"/>
          <w:b w:val="false"/>
          <w:color w:val="000000"/>
          <w:sz w:val="20"/>
          <w:shd w:fill="FFFFFF" w:val="clear"/>
        </w:rPr>
        <w:t>Promptly after the effective date of this registration statement.</w:t>
      </w:r>
    </w:p>
    <w:p>
      <w:pPr>
        <w:pStyle w:val="TextBody"/>
        <w:bidi w:val="0"/>
        <w:spacing w:before="6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any of the securities being registered on this Form are to be offered on a delayed or continuous basis pursuant to Rule 415 under the Securities Act of 1933, check the following box.  ☐</w:t>
      </w:r>
    </w:p>
    <w:p>
      <w:pPr>
        <w:pStyle w:val="TextBody"/>
        <w:bidi w:val="0"/>
        <w:spacing w:before="6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6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6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Indicate by check mark whether the registrant is an emerging growth company as defined in Rule 405 of the Securities Act of 1933</w:t>
      </w:r>
    </w:p>
    <w:p>
      <w:pPr>
        <w:pStyle w:val="TextBody"/>
        <w:bidi w:val="0"/>
        <w:spacing w:before="60" w:after="283"/>
        <w:jc w:val="righ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Emerging growth company ☒</w:t>
      </w:r>
    </w:p>
    <w:p>
      <w:pPr>
        <w:pStyle w:val="TextBody"/>
        <w:bidi w:val="0"/>
        <w:spacing w:before="6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60" w:after="283"/>
        <w:ind w:left="0" w:right="0" w:hanging="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as amended, or until the registration statement shall become effective on such date as the U.S. Securities and Exchange Commission, acting pursuant to such Section 8(a), may determine. </w:t>
      </w:r>
    </w:p>
    <w:p>
      <w:pPr>
        <w:pStyle w:val="HorizontalLine"/>
        <w:bidi w:val="0"/>
        <w:spacing w:before="200" w:after="200"/>
        <w:jc w:val="left"/>
        <w:rPr/>
      </w:pPr>
      <w:r>
        <w:rPr/>
      </w:r>
    </w:p>
    <w:p>
      <w:pPr>
        <w:pStyle w:val="TextBody"/>
        <w:bidi w:val="0"/>
        <w:jc w:val="left"/>
        <w:rPr/>
      </w:pPr>
      <w:hyperlink w:anchor="TOC">
        <w:bookmarkStart w:id="1" w:name="ny20075344x1_posam_100a-note_pg1"/>
        <w:bookmarkEnd w:id="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EXPLANATORY NOTE</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Waton Financial Limited (the “Company”) is filing this Post-Effective Amendment No. 2 to Form F-1 (this “Post-Effective Amendment No. 2”) to update its Registration Statement on Form F-1, as amended (File No. 333-291557) (the “Registration Statement”), originally filed by the Company with the U.S. Securities and Exchange Commission (the “SEC”) on November 14, 2025, and declared effective by the SEC on December 31, 2025, to include the unaudited condensed consolidated financial statements for the six months ended September 30, 2025, to update the offering structure to reflect the Company’s engagement of Cathay Securities, Inc. as the exclusive placement agent in connection with the offering on a best-efforts basis, and to update certain other information contained herein.</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information included in this Post-Effective Amendment No. 2 amends the Registration Statement and the prospectus contained therein. No additional securities are being registered under this Post-Effective Amendment No. 2 and no securities have been sold under the Registration Statement. All applicable registration fees were paid at the time of the original filing of the Registration Statement on November 14, 2025.</w:t>
      </w:r>
    </w:p>
    <w:p>
      <w:pPr>
        <w:pStyle w:val="HorizontalLine"/>
        <w:bidi w:val="0"/>
        <w:spacing w:before="200" w:after="200"/>
        <w:jc w:val="left"/>
        <w:rPr/>
      </w:pPr>
      <w:r>
        <w:rPr/>
      </w:r>
    </w:p>
    <w:p>
      <w:pPr>
        <w:pStyle w:val="TextBody"/>
        <w:bidi w:val="0"/>
        <w:jc w:val="left"/>
        <w:rPr/>
      </w:pPr>
      <w:hyperlink w:anchor="TOC">
        <w:bookmarkStart w:id="2" w:name="ny20075344x1_posam_101-cov_pg1"/>
        <w:bookmarkEnd w:id="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0" w:right="0" w:hanging="0"/>
        <w:jc w:val="left"/>
        <w:rPr>
          <w:rFonts w:ascii="Arial;Helvetica;sans-serif" w:hAnsi="Arial;Helvetica;sans-serif"/>
          <w:b/>
          <w:color w:val="FC0014"/>
          <w:sz w:val="20"/>
          <w:shd w:fill="FFFFFF" w:val="clear"/>
        </w:rPr>
      </w:pPr>
      <w:r>
        <w:rPr>
          <w:rFonts w:ascii="Arial;Helvetica;sans-serif" w:hAnsi="Arial;Helvetica;sans-serif"/>
          <w:b/>
          <w:color w:val="FC0014"/>
          <w:sz w:val="20"/>
          <w:shd w:fill="FFFFFF" w:val="clear"/>
        </w:rPr>
        <w:t xml:space="preserve">The information in this prospectus is not complete and may be changed. We may not sell the securities until the registration statement filed with the U.S. Securities and Exchange Commission is effective. This prospectus is not an offer to sell these securities and it is not soliciting any offer to buy these securities in any jurisdiction where such offer or sale is not permitted. </w:t>
      </w:r>
    </w:p>
    <w:tbl>
      <w:tblPr>
        <w:tblW w:w="7610" w:type="dxa"/>
        <w:jc w:val="left"/>
        <w:tblInd w:w="0" w:type="dxa"/>
        <w:tblLayout w:type="fixed"/>
        <w:tblCellMar>
          <w:top w:w="0" w:type="dxa"/>
          <w:left w:w="0" w:type="dxa"/>
          <w:bottom w:w="0" w:type="dxa"/>
          <w:right w:w="0" w:type="dxa"/>
        </w:tblCellMar>
      </w:tblPr>
      <w:tblGrid>
        <w:gridCol w:w="2750"/>
        <w:gridCol w:w="140"/>
        <w:gridCol w:w="140"/>
        <w:gridCol w:w="4580"/>
      </w:tblGrid>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0"/>
              <w:jc w:val="left"/>
              <w:rPr/>
            </w:pPr>
            <w:r>
              <w:rPr/>
              <w:t> </w:t>
            </w:r>
          </w:p>
        </w:tc>
      </w:tr>
      <w:tr>
        <w:trPr/>
        <w:tc>
          <w:tcPr>
            <w:tcW w:w="2750" w:type="dxa"/>
            <w:tcBorders/>
            <w:vAlign w:val="center"/>
          </w:tcPr>
          <w:p>
            <w:pPr>
              <w:pStyle w:val="TableContents"/>
              <w:bidi w:val="0"/>
              <w:spacing w:before="0" w:after="283"/>
              <w:ind w:left="0" w:right="0" w:hanging="0"/>
              <w:jc w:val="left"/>
              <w:rPr>
                <w:rFonts w:ascii="Times New Roman;Times;serif" w:hAnsi="Times New Roman;Times;serif"/>
                <w:b/>
                <w:color w:val="FC0014"/>
                <w:sz w:val="20"/>
              </w:rPr>
            </w:pPr>
            <w:r>
              <w:rPr>
                <w:rFonts w:ascii="Times New Roman;Times;serif" w:hAnsi="Times New Roman;Times;serif"/>
                <w:b/>
                <w:color w:val="FC0014"/>
                <w:sz w:val="20"/>
              </w:rPr>
              <w:t>PRELIMINARY PROSPECTUS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283"/>
              <w:jc w:val="right"/>
              <w:rPr>
                <w:rFonts w:ascii="Times New Roman;Times;serif" w:hAnsi="Times New Roman;Times;serif"/>
                <w:b/>
                <w:color w:val="FC0014"/>
                <w:sz w:val="20"/>
              </w:rPr>
            </w:pPr>
            <w:r>
              <w:rPr>
                <w:rFonts w:ascii="Times New Roman;Times;serif" w:hAnsi="Times New Roman;Times;serif"/>
                <w:b/>
                <w:color w:val="FC0014"/>
                <w:sz w:val="20"/>
              </w:rPr>
              <w:t>SUBJECT TO COMPLETION DATED JUNE 9, 2026</w:t>
            </w:r>
          </w:p>
        </w:tc>
      </w:tr>
      <w:tr>
        <w:trPr/>
        <w:tc>
          <w:tcPr>
            <w:tcW w:w="27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80" w:type="dxa"/>
            <w:tcBorders/>
            <w:vAlign w:val="center"/>
          </w:tcPr>
          <w:p>
            <w:pPr>
              <w:pStyle w:val="TableContents"/>
              <w:bidi w:val="0"/>
              <w:spacing w:before="0" w:after="0"/>
              <w:jc w:val="left"/>
              <w:rPr/>
            </w:pPr>
            <w:r>
              <w:rPr/>
              <w:t> </w:t>
            </w:r>
          </w:p>
        </w:tc>
      </w:tr>
    </w:tbl>
    <w:p>
      <w:pPr>
        <w:pStyle w:val="TextBody"/>
        <w:bidi w:val="0"/>
        <w:spacing w:before="155" w:after="283"/>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 xml:space="preserve">Up to 5,359,719 Ordinary Shares </w:t>
      </w:r>
    </w:p>
    <w:p>
      <w:pPr>
        <w:pStyle w:val="TextBody"/>
        <w:bidi w:val="0"/>
        <w:spacing w:before="255" w:after="283"/>
        <w:jc w:val="center"/>
        <w:rPr>
          <w:color w:val="000000"/>
          <w:shd w:fill="FFFFFF" w:val="clear"/>
        </w:rPr>
      </w:pPr>
      <w:r>
        <w:rPr>
          <w:color w:val="000000"/>
          <w:shd w:fill="FFFFFF" w:val="clear"/>
        </w:rPr>
        <w:drawing>
          <wp:inline distT="0" distB="0" distL="0" distR="0">
            <wp:extent cx="3057525" cy="1304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57525" cy="130492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150" w:after="283"/>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 xml:space="preserve">Waton Financial Limited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are offering in a best-efforts offering up to 5,359,719 ordinary shares, no par value per share (the “Ordinary Shares”). The offering price per Ordinary Share has not yet been determined. The assumed offering price used throughout this prospectus is $2.94 per Ordinary Share, which represents the closing trading price of our Ordinary Shares as reported on the Nasdaq Capital Market on June 8, 2026.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offering price for our securities in this offering will be determined at the time of pricing, and may be at a discount to the then current market price or to the assumed price set forth above. The assumed offering price used throughout this prospectus may not be indicative of the final offering price. The final public offering price will be determined through negotiation between us and investors based upon a number of factors, including our history and our prospects, the industry in which we operate, our past and present operating results, the previous experience of our executive officers and the general condition of the securities markets at the time of this offering.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Ordinary Shares are listed on the Nasdaq Capital Market under the symbol “WTF.” On June 8, 2026, the closing trading price of our Ordinary Shares, as reported on the Nasdaq Capital Market, was $2.94 per Ordinary Share. </w:t>
      </w:r>
    </w:p>
    <w:p>
      <w:pPr>
        <w:pStyle w:val="TextBody"/>
        <w:bidi w:val="0"/>
        <w:spacing w:before="120" w:after="283"/>
        <w:ind w:left="0" w:right="0" w:hanging="0"/>
        <w:jc w:val="both"/>
        <w:rPr/>
      </w:pPr>
      <w:r>
        <w:rPr>
          <w:rFonts w:ascii="Times New Roman;Times;serif" w:hAnsi="Times New Roman;Times;serif"/>
          <w:color w:val="000000"/>
          <w:sz w:val="20"/>
          <w:shd w:fill="FFFFFF" w:val="clear"/>
        </w:rPr>
        <w:t>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 number of securities sufficient to pursue the business goals outlined in this prospectus. Because there is no minimum offering amount, investors could be in a position where they have invested in our Company, but we are unable to fulfill our objectives due to a lack of interest in this offering. Also, any proceeds from the sale of securities offered by us will be available for our immediate use, despite uncertainty about whether we would be able to use such funds to effectively implement our business plan. See “</w:t>
      </w:r>
      <w:r>
        <w:rPr>
          <w:rFonts w:ascii="Times New Roman;Times;serif" w:hAnsi="Times New Roman;Times;serif"/>
          <w:i/>
          <w:color w:val="000000"/>
          <w:sz w:val="20"/>
          <w:shd w:fill="FFFFFF" w:val="clear"/>
        </w:rPr>
        <w:t>Risk Factors</w:t>
      </w:r>
      <w:r>
        <w:rPr>
          <w:rFonts w:ascii="Times New Roman;Times;serif" w:hAnsi="Times New Roman;Times;serif"/>
          <w:color w:val="000000"/>
          <w:sz w:val="20"/>
          <w:shd w:fill="FFFFFF" w:val="clear"/>
        </w:rPr>
        <w:t xml:space="preserve">” on page </w:t>
      </w:r>
      <w:hyperlink w:anchor="tRF">
        <w:r>
          <w:rPr>
            <w:rStyle w:val="InternetLink"/>
          </w:rPr>
          <w:t>12</w:t>
        </w:r>
      </w:hyperlink>
      <w:r>
        <w:rPr>
          <w:rFonts w:ascii="Times New Roman;Times;serif" w:hAnsi="Times New Roman;Times;serif"/>
          <w:color w:val="000000"/>
          <w:sz w:val="20"/>
          <w:shd w:fill="FFFFFF" w:val="clear"/>
        </w:rPr>
        <w:t xml:space="preserve"> of this prospectus and “</w:t>
      </w:r>
      <w:r>
        <w:rPr>
          <w:rFonts w:ascii="Times New Roman;Times;serif" w:hAnsi="Times New Roman;Times;serif"/>
          <w:i/>
          <w:color w:val="000000"/>
          <w:sz w:val="20"/>
          <w:shd w:fill="FFFFFF" w:val="clear"/>
        </w:rPr>
        <w:t>Item 3. Key Information — D. Risk Factors</w:t>
      </w:r>
      <w:r>
        <w:rPr>
          <w:rFonts w:ascii="Times New Roman;Times;serif" w:hAnsi="Times New Roman;Times;serif"/>
          <w:color w:val="000000"/>
          <w:sz w:val="20"/>
          <w:shd w:fill="FFFFFF" w:val="clear"/>
        </w:rPr>
        <w:t xml:space="preserve">” in our annual report on Form 20-F for the fiscal year ended March 31, 2025 (the “2025 Annual Report”) filed with the U.S. Securities and Exchange Commission (“SEC”) on July 24, 2025 for more information. We intend to complete one closing of this offering but may undertake one or more additional closings for the sale of the additional securities to the investors in the initial closing. We expect to hold an initial closing on [•], 2026. This offering will terminate no later than thirty (30) calendar days following the effectiveness of this Post-Effective Amendment No. 2, unless the Company extends such period or decides to terminate the offering prior to that date. Any extensions or material changes to the terms of the offering will be contained in an amendment to this prospectus.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engaged Cathay Securities, Inc. (the “Placement Agent” or “Cathay”) as our exclusive placement agent to use its reasonable best efforts to solicit offers to purchase our securities in this offering. The Placement Agent is not purchasing or selling any of our securities, nor is it required to arrange for the purchase and sale of any specific number or dollar amount of such securities, other than to use its reasonable best efforts to arrange for the sale of such securities by us. The Placement Agency Agreement does not give rise to any commitment by the Placement Agent to purchase any of our securities. Because there is no minimum offering amount required as a condition to closing in this offering, the actual offering amount, the Placement Agent’s commissions, and proceeds to us, if any, are not presently determinable and may be substantially less than the total maximum offering amounts set forth above and throughout this prospectus. See “Plan of Distribution” of this prospectus for more information regarding these arrangements.</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an “emerging growth company” as defined under applicable U.S. federal securities laws and are, therefore, eligible for reduced public company reporting requirements. See “</w:t>
      </w:r>
      <w:r>
        <w:rPr>
          <w:rFonts w:ascii="Times New Roman;Times;serif" w:hAnsi="Times New Roman;Times;serif"/>
          <w:i/>
          <w:color w:val="000000"/>
          <w:sz w:val="20"/>
          <w:shd w:fill="FFFFFF" w:val="clear"/>
        </w:rPr>
        <w:t>Prospectus Summary — Implications of Being an Emerging Growth Company</w:t>
      </w:r>
      <w:r>
        <w:rPr>
          <w:rFonts w:ascii="Times New Roman;Times;serif" w:hAnsi="Times New Roman;Times;serif"/>
          <w:color w:val="000000"/>
          <w:sz w:val="20"/>
          <w:shd w:fill="FFFFFF" w:val="clear"/>
        </w:rPr>
        <w:t>” and “</w:t>
      </w:r>
      <w:r>
        <w:rPr>
          <w:rFonts w:ascii="Times New Roman;Times;serif" w:hAnsi="Times New Roman;Times;serif"/>
          <w:i/>
          <w:color w:val="000000"/>
          <w:sz w:val="20"/>
          <w:shd w:fill="FFFFFF" w:val="clear"/>
        </w:rPr>
        <w:t>Risk Factors</w:t>
      </w:r>
      <w:r>
        <w:rPr>
          <w:rFonts w:ascii="Times New Roman;Times;serif" w:hAnsi="Times New Roman;Times;serif"/>
          <w:color w:val="000000"/>
          <w:sz w:val="20"/>
          <w:shd w:fill="FFFFFF" w:val="clear"/>
        </w:rPr>
        <w:t xml:space="preserve">” in this prospectus for more information. </w:t>
      </w:r>
    </w:p>
    <w:p>
      <w:pPr>
        <w:pStyle w:val="TextBody"/>
        <w:bidi w:val="0"/>
        <w:spacing w:before="120" w:after="283"/>
        <w:ind w:left="0" w:right="0" w:hanging="0"/>
        <w:jc w:val="both"/>
        <w:rPr/>
      </w:pPr>
      <w:r>
        <w:rPr>
          <w:rFonts w:ascii="Times New Roman;Times;serif" w:hAnsi="Times New Roman;Times;serif"/>
          <w:color w:val="000000"/>
          <w:sz w:val="20"/>
          <w:shd w:fill="FFFFFF" w:val="clear"/>
        </w:rPr>
        <w:t>We are a BVI business company, limited by shares, incorporated in the British Virgin Islands. Under the rules of the SEC, we currently qualify for treatment as a “foreign private issuer.” As a foreign private issuer, we will not be required to file periodic reports and financial statements with the U.S. Securities and Exchange Commission, or the SEC, as frequently or as promptly as domestic registrants whose securities are registered under the Securities Exchange Act of 1934, as amended, or the Exchange Act. We are a “foreign private issuer” within the meaning of the Nasdaq listing standards and currently rely on the corporate governance exemptions afforded to a “foreign private issuer” under the Nasdaq listing standards. Please read “</w:t>
      </w:r>
      <w:r>
        <w:rPr>
          <w:rFonts w:ascii="Times New Roman;Times;serif" w:hAnsi="Times New Roman;Times;serif"/>
          <w:i/>
          <w:color w:val="000000"/>
          <w:sz w:val="20"/>
          <w:shd w:fill="FFFFFF" w:val="clear"/>
        </w:rPr>
        <w:t>Implications of Being a Foreign Private Issuer</w:t>
      </w:r>
      <w:r>
        <w:rPr>
          <w:rFonts w:ascii="Times New Roman;Times;serif" w:hAnsi="Times New Roman;Times;serif"/>
          <w:color w:val="000000"/>
          <w:sz w:val="20"/>
          <w:shd w:fill="FFFFFF" w:val="clear"/>
        </w:rPr>
        <w:t xml:space="preserve">” beginning on page </w:t>
      </w:r>
      <w:hyperlink w:anchor="tIBE">
        <w:r>
          <w:rPr>
            <w:rStyle w:val="InternetLink"/>
          </w:rPr>
          <w:t>6</w:t>
        </w:r>
      </w:hyperlink>
      <w:r>
        <w:rPr>
          <w:rFonts w:ascii="Times New Roman;Times;serif" w:hAnsi="Times New Roman;Times;serif"/>
          <w:color w:val="000000"/>
          <w:sz w:val="20"/>
          <w:shd w:fill="FFFFFF" w:val="clear"/>
        </w:rPr>
        <w:t xml:space="preserve"> of this prospectus for more information. </w:t>
      </w:r>
    </w:p>
    <w:p>
      <w:pPr>
        <w:pStyle w:val="HorizontalLine"/>
        <w:bidi w:val="0"/>
        <w:spacing w:before="200" w:after="200"/>
        <w:jc w:val="left"/>
        <w:rPr/>
      </w:pPr>
      <w:r>
        <w:rPr/>
      </w:r>
    </w:p>
    <w:p>
      <w:pPr>
        <w:pStyle w:val="TextBody"/>
        <w:bidi w:val="0"/>
        <w:jc w:val="left"/>
        <w:rPr/>
      </w:pPr>
      <w:hyperlink w:anchor="TOC">
        <w:bookmarkStart w:id="3" w:name="ny20075344x1_posam_101-cov_pg2"/>
        <w:bookmarkEnd w:id="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Investors purchasing securities in this offering are purchasing securities of Waton Financial Limited, a British Virgin Islands holding company, rather than the securities of Waton Financial Limited’s subsidiaries that conduct substantive business operations primarily in Hong Kong. Waton Financial Limited is not a Hong Kong operating company, but is rather a holding company incorporated in the British Virgin Islands. Waton Financial Limited has no material operations of its own, and conducts substantive business operations through its subsidiaries primarily based in Hong Kong. Our subsidiaries are controlled by Waton Financial Limited through equity ownership. For a description of our corporate structure, see “</w:t>
      </w:r>
      <w:r>
        <w:rPr>
          <w:rFonts w:ascii="Times New Roman;Times;serif" w:hAnsi="Times New Roman;Times;serif"/>
          <w:b/>
          <w:i/>
          <w:color w:val="000000"/>
          <w:sz w:val="20"/>
          <w:shd w:fill="FFFFFF" w:val="clear"/>
        </w:rPr>
        <w:t>Corporate History and Structure</w:t>
      </w:r>
      <w:r>
        <w:rPr>
          <w:rFonts w:ascii="Times New Roman;Times;serif" w:hAnsi="Times New Roman;Times;serif"/>
          <w:b/>
          <w:color w:val="000000"/>
          <w:sz w:val="20"/>
          <w:shd w:fill="FFFFFF" w:val="clear"/>
        </w:rPr>
        <w:t xml:space="preserve">” of this prospectus. Investors in this offering may never directly hold any equity interests in Waton Financial Limited’s subsidiaries that conduct substantive business operations primarily in Hong Kong.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used in this prospectus, references to “we”, “us”, “our”, or the “Company” refer to Waton Financial Limited, the British Virgin Islands business company that will issue securities of this offering and when the financial results of Waton Financial Limited are described, also include its consolidated subsidiaries. References to “WSI” are to Waton Securities International Limited and references to “WTI” are to Waton Technology International Limited; WSI and WTI being Waton Financial Limited’s subsidiaries that primarily conduct substantive business operations in Hong Kong. References to “WTF Technology” are to WTF Technology (Hangzhou) Co. Ltd., a limited liability company which is 100% owned by WTI and was incorporated in Hangzhou City, Mainland China on February 10, 2026. </w:t>
      </w:r>
    </w:p>
    <w:p>
      <w:pPr>
        <w:pStyle w:val="TextBody"/>
        <w:bidi w:val="0"/>
        <w:spacing w:before="120" w:after="283"/>
        <w:ind w:left="0" w:right="0" w:hanging="0"/>
        <w:jc w:val="both"/>
        <w:rPr/>
      </w:pPr>
      <w:r>
        <w:rPr>
          <w:rFonts w:ascii="Times New Roman;Times;serif" w:hAnsi="Times New Roman;Times;serif"/>
          <w:b/>
          <w:color w:val="000000"/>
          <w:sz w:val="20"/>
          <w:shd w:fill="FFFFFF" w:val="clear"/>
        </w:rPr>
        <w:t>Investing in our securities involves a high degree of risk, including the risk of losing your entire investment. See “</w:t>
      </w:r>
      <w:r>
        <w:rPr>
          <w:rFonts w:ascii="Times New Roman;Times;serif" w:hAnsi="Times New Roman;Times;serif"/>
          <w:b/>
          <w:i/>
          <w:color w:val="000000"/>
          <w:sz w:val="20"/>
          <w:shd w:fill="FFFFFF" w:val="clear"/>
        </w:rPr>
        <w:t>Risk Factors</w:t>
      </w:r>
      <w:r>
        <w:rPr>
          <w:rFonts w:ascii="Times New Roman;Times;serif" w:hAnsi="Times New Roman;Times;serif"/>
          <w:b/>
          <w:color w:val="000000"/>
          <w:sz w:val="20"/>
          <w:shd w:fill="FFFFFF" w:val="clear"/>
        </w:rPr>
        <w:t xml:space="preserve">” beginning on page </w:t>
      </w:r>
      <w:hyperlink w:anchor="tRF">
        <w:r>
          <w:rPr>
            <w:rStyle w:val="InternetLink"/>
          </w:rPr>
          <w:t>12</w:t>
        </w:r>
      </w:hyperlink>
      <w:r>
        <w:rPr>
          <w:rFonts w:ascii="Times New Roman;Times;serif" w:hAnsi="Times New Roman;Times;serif"/>
          <w:b/>
          <w:color w:val="000000"/>
          <w:sz w:val="20"/>
          <w:shd w:fill="FFFFFF" w:val="clear"/>
        </w:rPr>
        <w:t xml:space="preserve"> of this prospectus and “</w:t>
      </w:r>
      <w:r>
        <w:rPr>
          <w:rFonts w:ascii="Times New Roman;Times;serif" w:hAnsi="Times New Roman;Times;serif"/>
          <w:b/>
          <w:i/>
          <w:color w:val="000000"/>
          <w:sz w:val="20"/>
          <w:shd w:fill="FFFFFF" w:val="clear"/>
        </w:rPr>
        <w:t>Item 3. Key Information — D. Risk Factors</w:t>
      </w:r>
      <w:r>
        <w:rPr>
          <w:rFonts w:ascii="Times New Roman;Times;serif" w:hAnsi="Times New Roman;Times;serif"/>
          <w:b/>
          <w:color w:val="000000"/>
          <w:sz w:val="20"/>
          <w:shd w:fill="FFFFFF" w:val="clear"/>
        </w:rPr>
        <w:t xml:space="preserve">” in our 2025 Annual Report to read about factors you should consider before buying our securities.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Waton Financial Limited is a British Virgin Islands holding company with no material operations of its own and conducts its operations primarily in Hong Kong through its subsidiaries, including WSI and WTI. Waton Financial Limited holds equity interests in its subsidiaries in Hong Kong, Mainland China, the Cayman Islands and the British Virgin Islands. Investors are purchasing the securities of Waton Financial Limited, a British Virgin Islands holding company, and not the securities of its subsidiaries. This corporate structure involves unique risks to investors. As a holding company, Waton Financial Limited may rely on dividends from its subsidiaries for cash requirements, including any payment of dividends to its shareholders. The subsidiaries’ ability to pay dividends to Waton Financial Limited may be restricted by the debt the subsidiaries incur on their own behalf or laws and regulations applicable to them. See “</w:t>
      </w:r>
      <w:r>
        <w:rPr>
          <w:rFonts w:ascii="Times New Roman;Times;serif" w:hAnsi="Times New Roman;Times;serif"/>
          <w:i/>
          <w:color w:val="000000"/>
          <w:sz w:val="20"/>
          <w:shd w:fill="FFFFFF" w:val="clear"/>
        </w:rPr>
        <w:t>Item 3. Key Information — D. Risk Factors — Risks Related to Our Ordinary Shares — We rely on dividends and other distributions on equity paid by our subsidiaries to fund any cash and financing requirements we may have, and any limitation on the ability of our subsidiaries to make payments may restrict our ability to finance our cash requirements, service debt or make dividend or other distributions to our shareholders</w:t>
      </w:r>
      <w:r>
        <w:rPr>
          <w:rFonts w:ascii="Times New Roman;Times;serif" w:hAnsi="Times New Roman;Times;serif"/>
          <w:color w:val="000000"/>
          <w:sz w:val="20"/>
          <w:shd w:fill="FFFFFF" w:val="clear"/>
        </w:rPr>
        <w:t xml:space="preserve">” in our 2025 Annual Report.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and our subsidiaries face various legal and operational risks and uncertainties associated with being based, or having the majority of the operations, in Hong Kong. Our subsidiaries are headquartered in Hong Kong. However, since a minimal portion of our subsidiaries’ customers are Mainland China nationals and one of our subsidiaries operates in Mainland China as a cost center, we and our subsidiaries may become subject to certain PRC laws and regulations as they continue to evolve, and we and our subsidiaries face uncertainties as to whether and how the recent PRC government statements and regulatory developments, such as those relating to data and cyberspace security, and anti-monopoly concerns, would apply to us and our subsidiaries. PRC laws and regulations are sometimes evolving rapidly, and as a result, to the extent that any PRC laws and regulations become applicable to us and/or our subsidiaries in the future, we and/or our subsidiaries may experience material changes in operations, restrictions in our subsidiaries’ ability to accept foreign investments and/or our ability to list on a U.S. or other foreign exchange, significant depreciation of the value of our securities, a complete hindrance of our ability to offer or continue to offer our securities to investors, or the value of such securities may significantly decline or be worthless. For example, if the recent regulatory actions of the PRC government on data security or other data-related laws and regulations were to apply to us and/or our subsidiaries, we and/or our subsidiaries could become subject to certain cybersecurity and data privacy obligations, including the potential requirement to conduct a cybersecurity review for our public offerings on a foreign stock exchange, and the failure to meet such obligations could result in penalties and other regulatory actions against us and/or our subsidiaries and may materially and adversely affect our subsidiaries’ business and our results of operations. See “</w:t>
      </w:r>
      <w:r>
        <w:rPr>
          <w:rFonts w:ascii="Times New Roman;Times;serif" w:hAnsi="Times New Roman;Times;serif"/>
          <w:i/>
          <w:color w:val="000000"/>
          <w:sz w:val="20"/>
          <w:shd w:fill="FFFFFF" w:val="clear"/>
        </w:rPr>
        <w:t>Risk Factors — Risks Related to Doing Business in the Jurisdiction in which our Subsidiaries Operate — If we and our subsidiaries were to be required to comply with cybersecurity, data privacy, data protection, or any other PRC laws and regulations related thereto and we and our subsidiaries are unable to comply with such PRC laws and regulations, our financial condition, and results of operations may be materially and adversely affected</w:t>
      </w:r>
      <w:r>
        <w:rPr>
          <w:rFonts w:ascii="Times New Roman;Times;serif" w:hAnsi="Times New Roman;Times;serif"/>
          <w:color w:val="000000"/>
          <w:sz w:val="20"/>
          <w:shd w:fill="FFFFFF" w:val="clear"/>
        </w:rPr>
        <w:t xml:space="preserve">.” We believe that we are not currently required to obtain permission from or </w:t>
      </w:r>
    </w:p>
    <w:p>
      <w:pPr>
        <w:pStyle w:val="HorizontalLine"/>
        <w:bidi w:val="0"/>
        <w:spacing w:before="200" w:after="200"/>
        <w:jc w:val="left"/>
        <w:rPr/>
      </w:pPr>
      <w:r>
        <w:rPr/>
      </w:r>
    </w:p>
    <w:p>
      <w:pPr>
        <w:pStyle w:val="TextBody"/>
        <w:bidi w:val="0"/>
        <w:jc w:val="left"/>
        <w:rPr/>
      </w:pPr>
      <w:hyperlink w:anchor="TOC">
        <w:bookmarkStart w:id="4" w:name="ny20075344x1_posam_101-cov_pg3"/>
        <w:bookmarkEnd w:id="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complete any filing procedures with the PRC government to list on a U.S. securities exchange and consummate this offering; however, there is no guarantee that this will continue to be the case in the future in relation to the continued listing of our securities on a securities exchange outside of Mainland China, or even when or if such permission is obtained or such filing is completed, it will not be subsequently denied or rescinded. On February 17, 2023, the China Securities Regulatory Commission (the “CSRC”) promulgated the Trial Administrative Measures of Overseas Securities Offering and Listing by Domestic Companies, or the Trial Measures, and five supporting guidelines, which took effect on March 31, 2023. Based on the opinion of our counsel as to PRC laws, Global Law Office, at the time of our initial public offering, we were not subject to the Trial Measures. However, due to the establishment and operation of our PRC subsidiary, there exists uncertainty with respect to the further implementation and interpretation of the principle of “substance over form” and we may be subject to the Trial Measures in the future. If we later find out that we and/or our subsidiaries were to be required to obtain any permission or approval from or were required to complete any filing procedure with the CSRC, the Cyberspace Administration of China (the “CAC”), or other PRC governmental authorities in connection with this offering under PRC law, we and/or our subsidiaries may be fined or subject to other sanctions, and our subsidiaries’ business and our reputation, financial condition, and results of operations may be materially and adversely affected. See “</w:t>
      </w:r>
      <w:r>
        <w:rPr>
          <w:rFonts w:ascii="Times New Roman;Times;serif" w:hAnsi="Times New Roman;Times;serif"/>
          <w:i/>
          <w:color w:val="000000"/>
          <w:sz w:val="20"/>
          <w:shd w:fill="FFFFFF" w:val="clear"/>
        </w:rPr>
        <w:t>Risk Factors — Risks Related to Doing Business in the Jurisdiction in which our Subsidiaries Operate — If we were to be required to obtain any permission or approval from or complete any filing procedures with the CSRC, the CAC, or other PRC governmental authorities in connection with this offering under the PRC laws, we may be fined or subject to other sanctions</w:t>
      </w:r>
      <w:r>
        <w:rPr>
          <w:rFonts w:ascii="Times New Roman;Times;serif" w:hAnsi="Times New Roman;Times;serif"/>
          <w:color w:val="000000"/>
          <w:sz w:val="20"/>
          <w:shd w:fill="FFFFFF" w:val="clear"/>
        </w:rPr>
        <w:t xml:space="preserve">.”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Furthermore, the PRC government may influence the Hong Kong operations of an offshore holding company, such as those of our subsidiaries, at any time. These risks could hinder our ability to offer or continue to offer our securities, result in a material adverse change to our subsidiaries’ business operations, and damage our reputation, which could cause our securities to significantly decline in value or become worthless. For a detailed description of risks relating to the potential impact of PRC laws and regulations on our subsidiaries’ business operations, see “</w:t>
      </w:r>
      <w:r>
        <w:rPr>
          <w:rFonts w:ascii="Times New Roman;Times;serif" w:hAnsi="Times New Roman;Times;serif"/>
          <w:i/>
          <w:color w:val="000000"/>
          <w:sz w:val="20"/>
          <w:shd w:fill="FFFFFF" w:val="clear"/>
        </w:rPr>
        <w:t>Item 3. Key Information — D. Risk Factors — Risks Related to Doing Business in the Jurisdiction in which our Subsidiaries Operate — We and our subsidiaries face uncertainties arising from the possible revision regarding the interpretation and implementation of current and any future PRC laws and regulations related to part of our subsidiaries’ business operations</w:t>
      </w:r>
      <w:r>
        <w:rPr>
          <w:rFonts w:ascii="Times New Roman;Times;serif" w:hAnsi="Times New Roman;Times;serif"/>
          <w:color w:val="000000"/>
          <w:sz w:val="20"/>
          <w:shd w:fill="FFFFFF" w:val="clear"/>
        </w:rPr>
        <w:t xml:space="preserve">” in our 2025 Annual Report.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also may face risks relating to the lack of Public Company Accounting Oversight Board (the “PCAOB”) inspection on our auditor, which may cause our securities to be delisted from a U.S. stock exchange in the future under the Holding Foreign Companies Accountable Act, or the HFCAA, if the PCAOB is unable to inspect or investigate completely our auditor for two consecutive years. On June 22, 2021, the U.S. Senate passed Accelerating Holding Foreign Companies Accountable Act, and on December 29, 2022, legislation entitled “Consolidated Appropriations Act, 2023” (the “Consolidated Appropriations Act”) was signed into law by President Biden, which contained, among other things, an identical provision to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before our securities may be prohibited from trading or delisted. The delisting or the cessation of trading of our Ordinary Shares, or the threat of their being delisted or prohibited from being traded, may materially and adversely affect the value of your investment. On December 16, 2021, the PCAOB issued a report to notify the SEC its determinations that it is unable to inspect or investigate completely registered public accounting firms headquartered in Mainland China and Hong Kong, respectively, and identifies the registered public accounting firms in Mainland China and Hong Kong that are subject to such determinations. The auditor of the Company, UHY LLP, is not among the auditor firms listed on the determination list issued by the PCAOB, which notes all of the auditor firms that the PCAOB is not able to inspect. UHY LLP is an independent registered public accounting firm with the PCAOB headquartered in the United States, having its last inspection report dated in March 2025. On August 26, 2022, the CSRC, the Ministry of Finance of the PRC, and the PCAOB signed a Statement of Protocol, or the Protocol, governing inspections and investigations of audit firms based in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Our securities may be delisted or prohibited from trading if the PCAOB determines that it cannot inspect or investigate completely our auditor under the HFCAA. See “</w:t>
      </w:r>
      <w:r>
        <w:rPr>
          <w:rFonts w:ascii="Times New Roman;Times;serif" w:hAnsi="Times New Roman;Times;serif"/>
          <w:i/>
          <w:color w:val="000000"/>
          <w:sz w:val="20"/>
          <w:shd w:fill="FFFFFF" w:val="clear"/>
        </w:rPr>
        <w:t xml:space="preserve">Item 3. Key </w:t>
      </w:r>
    </w:p>
    <w:p>
      <w:pPr>
        <w:pStyle w:val="HorizontalLine"/>
        <w:bidi w:val="0"/>
        <w:spacing w:before="200" w:after="200"/>
        <w:jc w:val="left"/>
        <w:rPr/>
      </w:pPr>
      <w:r>
        <w:rPr/>
      </w:r>
    </w:p>
    <w:p>
      <w:pPr>
        <w:pStyle w:val="TextBody"/>
        <w:bidi w:val="0"/>
        <w:jc w:val="left"/>
        <w:rPr/>
      </w:pPr>
      <w:hyperlink w:anchor="TOC">
        <w:bookmarkStart w:id="5" w:name="ny20075344x1_posam_101-cov_pg4"/>
        <w:bookmarkEnd w:id="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Information — D. Risk Factors — Risks Related to Our Ordinary Shares — Our Ordinary Shares may be delisted or prohibited from being traded over-the-counter under the HFCAA if the PCAOB is unable to inspect or investigate completely the Company’s auditor for two consecutive years</w:t>
      </w:r>
      <w:r>
        <w:rPr>
          <w:rFonts w:ascii="Times New Roman;Times;serif" w:hAnsi="Times New Roman;Times;serif"/>
          <w:i/>
          <w:caps w:val="false"/>
          <w:smallCaps w:val="false"/>
          <w:color w:val="000000"/>
          <w:sz w:val="20"/>
          <w:shd w:fill="FFFFFF" w:val="clear"/>
        </w:rPr>
        <w:t xml:space="preserve">” </w:t>
      </w:r>
      <w:r>
        <w:rPr>
          <w:rFonts w:ascii="Times New Roman;Times;serif" w:hAnsi="Times New Roman;Times;serif"/>
          <w:i w:val="false"/>
          <w:caps w:val="false"/>
          <w:smallCaps w:val="false"/>
          <w:color w:val="000000"/>
          <w:sz w:val="20"/>
          <w:shd w:fill="FFFFFF" w:val="clear"/>
        </w:rPr>
        <w:t xml:space="preserve">in our 2025 Annual Report.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Since the incorporation of our British Virgin Islands holding company, with the exception of funds received for daily operational purposes from Mr. Zhou Kai, our Chairman of the Board, Director, Chief Technology Officer and a shareholder who owns more than 5% of our issued and outstanding Ordinary Shares as of the date of this prospectus, no cash flows have occurred between our holding company and our subsidiaries, except for the provision of capital contributions to WSI by the Company in the amount of (i) US$1 million during the fiscal year ended March 31, 2023, (ii) US$5.1 million in November 2024, and (iii) US$18.0 million in April 2025. Currently, we do not intend to have our holding company distribute dividends in the future and we do not have a fixed dividend policy. Our board of directors has complete discretion on whether to distribute dividends, subject to applicable laws. See “</w:t>
      </w:r>
      <w:r>
        <w:rPr>
          <w:rFonts w:ascii="Times New Roman;Times;serif" w:hAnsi="Times New Roman;Times;serif"/>
          <w:i/>
          <w:color w:val="000000"/>
          <w:sz w:val="20"/>
          <w:shd w:fill="FFFFFF" w:val="clear"/>
        </w:rPr>
        <w:t>Item 3. Key Information — D. Risk Factors — Risks Related to Our Ordinary Shares and This Offering — Because the amount, timing, and whether or not we distribute dividends at all is entirely at the discretion of our board of directors, you must rely on price appreciation of our Ordinary Shares for return on your investment</w:t>
      </w:r>
      <w:r>
        <w:rPr>
          <w:rFonts w:ascii="Times New Roman;Times;serif" w:hAnsi="Times New Roman;Times;serif"/>
          <w:color w:val="000000"/>
          <w:sz w:val="20"/>
          <w:shd w:fill="FFFFFF" w:val="clear"/>
        </w:rPr>
        <w:t>” in our 2025 Annual Report. If needed, cash can be transferred between our holding company and subsidiaries through intercompany fund advances, and there are currently no restrictions of transferring funds between our British Virgin Islands holding company and our subsidiaries in the Cayman Islands and Hong Kong. However, our ability to transfer cash in and expatriate cash out of the PRC is subject to foreign exchange control requirements in the PRC. We rely in part on dividends and other distributions on equity paid by our subsidiaries in Hong Kong for our cash and financing requirements, such as the funds necessary to service any debt we may incur. Any such controls or restrictions may adversely affect our ability to finance our cash requirements, service debt or make dividends or other distributions to our shareholders. See “</w:t>
      </w:r>
      <w:r>
        <w:rPr>
          <w:rFonts w:ascii="Times New Roman;Times;serif" w:hAnsi="Times New Roman;Times;serif"/>
          <w:i/>
          <w:color w:val="000000"/>
          <w:sz w:val="20"/>
          <w:shd w:fill="FFFFFF" w:val="clear"/>
        </w:rPr>
        <w:t>Item 3. Key Information — D. Risk Factors — Risks Related to Our Ordinary Shares and This Offering — We rely on dividends and other distributions on equity paid by our subsidiaries to fund any cash and financing requirements we may have, and any limitation on the ability of our subsidiaries to make payments may restrict our ability to finance our cash requirements, service debt or make dividend or other distributions to our shareholders</w:t>
      </w:r>
      <w:r>
        <w:rPr>
          <w:rFonts w:ascii="Times New Roman;Times;serif" w:hAnsi="Times New Roman;Times;serif"/>
          <w:color w:val="000000"/>
          <w:sz w:val="20"/>
          <w:shd w:fill="FFFFFF" w:val="clear"/>
        </w:rPr>
        <w:t xml:space="preserve">” in our 2025 Annual Report.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Following the completion of this offering, our largest shareholder, WATON CORPORATION LIMITED, will beneficially own approximately 76.46% of the aggregate voting power of our outstanding Ordinary Shares. As such, we will continue to be deemed a “controlled company” within the meaning of the Nasdaq listing standards. We currently do not intend to rely on the corporate governance exemptions afforded to a “controlled company” under the Nasdaq listing standards. However, we may avail ourselves of such exemptions in the future. See “</w:t>
      </w:r>
      <w:r>
        <w:rPr>
          <w:rFonts w:ascii="Times New Roman;Times;serif" w:hAnsi="Times New Roman;Times;serif"/>
          <w:i/>
          <w:color w:val="000000"/>
          <w:sz w:val="20"/>
          <w:shd w:fill="FFFFFF" w:val="clear"/>
        </w:rPr>
        <w:t>Prospectus Summary – Controlled Company</w:t>
      </w:r>
      <w:r>
        <w:rPr>
          <w:rFonts w:ascii="Times New Roman;Times;serif" w:hAnsi="Times New Roman;Times;serif"/>
          <w:color w:val="000000"/>
          <w:sz w:val="20"/>
          <w:shd w:fill="FFFFFF" w:val="clear"/>
        </w:rPr>
        <w:t>” and “</w:t>
      </w:r>
      <w:r>
        <w:rPr>
          <w:rFonts w:ascii="Times New Roman;Times;serif" w:hAnsi="Times New Roman;Times;serif"/>
          <w:i/>
          <w:color w:val="000000"/>
          <w:sz w:val="20"/>
          <w:shd w:fill="FFFFFF" w:val="clear"/>
        </w:rPr>
        <w:t>Management</w:t>
      </w:r>
      <w:r>
        <w:rPr>
          <w:rFonts w:ascii="Times New Roman;Times;serif" w:hAnsi="Times New Roman;Times;serif"/>
          <w:color w:val="000000"/>
          <w:sz w:val="20"/>
          <w:shd w:fill="FFFFFF" w:val="clear"/>
        </w:rPr>
        <w:t xml:space="preserve">.” </w:t>
      </w:r>
    </w:p>
    <w:tbl>
      <w:tblPr>
        <w:tblW w:w="4970" w:type="dxa"/>
        <w:jc w:val="left"/>
        <w:tblInd w:w="0" w:type="dxa"/>
        <w:tblLayout w:type="fixed"/>
        <w:tblCellMar>
          <w:top w:w="0" w:type="dxa"/>
          <w:left w:w="0" w:type="dxa"/>
          <w:bottom w:w="0" w:type="dxa"/>
          <w:right w:w="0" w:type="dxa"/>
        </w:tblCellMar>
      </w:tblPr>
      <w:tblGrid>
        <w:gridCol w:w="2825"/>
        <w:gridCol w:w="140"/>
        <w:gridCol w:w="140"/>
        <w:gridCol w:w="785"/>
        <w:gridCol w:w="140"/>
        <w:gridCol w:w="140"/>
        <w:gridCol w:w="800"/>
      </w:tblGrid>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r>
      <w:tr>
        <w:trPr/>
        <w:tc>
          <w:tcPr>
            <w:tcW w:w="28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 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(assuming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offering)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Public offering price</w:t>
            </w:r>
            <w:r>
              <w:rPr>
                <w:rFonts w:ascii="Times New Roman;Times;serif" w:hAnsi="Times New Roman;Times;serif"/>
                <w:color w:val="000000"/>
                <w:position w:val="7"/>
                <w:sz w:val="16"/>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w:t>
            </w:r>
          </w:p>
        </w:tc>
      </w:tr>
      <w:tr>
        <w:trPr/>
        <w:tc>
          <w:tcPr>
            <w:tcW w:w="28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Placement agent commissions</w:t>
            </w:r>
            <w:r>
              <w:rPr>
                <w:rFonts w:ascii="Times New Roman;Times;serif" w:hAnsi="Times New Roman;Times;serif"/>
                <w:color w:val="000000"/>
                <w:position w:val="7"/>
                <w:sz w:val="16"/>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before expenses, to us</w:t>
            </w:r>
            <w:r>
              <w:rPr>
                <w:rFonts w:ascii="Times New Roman;Times;serif" w:hAnsi="Times New Roman;Times;serif"/>
                <w:color w:val="000000"/>
                <w:position w:val="7"/>
                <w:sz w:val="16"/>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28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r>
    </w:tbl>
    <w:tbl>
      <w:tblPr>
        <w:tblW w:w="5455" w:type="dxa"/>
        <w:jc w:val="left"/>
        <w:tblInd w:w="0" w:type="dxa"/>
        <w:tblLayout w:type="fixed"/>
        <w:tblCellMar>
          <w:top w:w="0" w:type="dxa"/>
          <w:left w:w="0" w:type="dxa"/>
          <w:bottom w:w="0" w:type="dxa"/>
          <w:right w:w="0" w:type="dxa"/>
        </w:tblCellMar>
      </w:tblPr>
      <w:tblGrid>
        <w:gridCol w:w="230"/>
        <w:gridCol w:w="52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Ordinary Shares are offered at an offering price of US$2.94 per share.</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We have agreed to pay the Placement Agent commissions of 7.0% of the aggregate gross proceeds raised in this offering. We have also agreed to reimburse the Placement Agent for its accountable expenses up to $100,000. For a description of compensation payable to the Placement Agent, see “Plan of Distribution.”</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We estimate the total expenses of this offering payable by us, excluding the Placement Agent’s commissions and expense reimbursement, will be approximately $0.41 million. </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Because there is no minimum offering amount required as a condition to closing in this offering, the actual offering amount, the Placement Agent’s commissions, and proceeds to us, if any, are not presently determinable and may be substantially less than the total maximum offering amounts set forth above and throughout this prospectus. </w:t>
      </w:r>
    </w:p>
    <w:p>
      <w:pPr>
        <w:pStyle w:val="TextBody"/>
        <w:bidi w:val="0"/>
        <w:spacing w:before="120" w:after="283"/>
        <w:ind w:left="0" w:right="0" w:hanging="0"/>
        <w:jc w:val="both"/>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Neither the U.S. Securities and Exchange Commission nor any state securities commission nor any other regulatory body has approved or disapproved of these securities or determined if this prospectus is truthful or complete. Any representation to the contrary is a criminal offense. </w:t>
      </w:r>
    </w:p>
    <w:p>
      <w:pPr>
        <w:pStyle w:val="TextBody"/>
        <w:bidi w:val="0"/>
        <w:spacing w:before="28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Prospectus dated [•], 2026 </w:t>
      </w:r>
    </w:p>
    <w:p>
      <w:pPr>
        <w:pStyle w:val="HorizontalLine"/>
        <w:bidi w:val="0"/>
        <w:spacing w:before="200" w:after="200"/>
        <w:jc w:val="left"/>
        <w:rPr/>
      </w:pPr>
      <w:r>
        <w:rPr/>
      </w:r>
    </w:p>
    <w:p>
      <w:pPr>
        <w:pStyle w:val="TextBody"/>
        <w:bidi w:val="0"/>
        <w:jc w:val="left"/>
        <w:rPr/>
      </w:pPr>
      <w:hyperlink w:anchor="TOC">
        <w:bookmarkStart w:id="6" w:name="ny20075344x1_posam_102-toc_pg1"/>
        <w:bookmarkEnd w:id="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TABLE OF CONTENTS </w:t>
      </w:r>
    </w:p>
    <w:p>
      <w:pPr>
        <w:pStyle w:val="Normal"/>
        <w:bidi w:val="0"/>
        <w:spacing w:before="0" w:after="0"/>
        <w:jc w:val="left"/>
        <w:rPr>
          <w:sz w:val="4"/>
          <w:szCs w:val="4"/>
        </w:rPr>
      </w:pPr>
      <w:r>
        <w:rPr>
          <w:sz w:val="4"/>
          <w:szCs w:val="4"/>
        </w:rPr>
      </w:r>
      <w:bookmarkStart w:id="7" w:name="TOC"/>
      <w:bookmarkStart w:id="8" w:name="TOC"/>
      <w:bookmarkEnd w:id="8"/>
    </w:p>
    <w:tbl>
      <w:tblPr>
        <w:tblW w:w="10190" w:type="dxa"/>
        <w:jc w:val="left"/>
        <w:tblInd w:w="0" w:type="dxa"/>
        <w:tblLayout w:type="fixed"/>
        <w:tblCellMar>
          <w:top w:w="0" w:type="dxa"/>
          <w:left w:w="0" w:type="dxa"/>
          <w:bottom w:w="0" w:type="dxa"/>
          <w:right w:w="0" w:type="dxa"/>
        </w:tblCellMar>
      </w:tblPr>
      <w:tblGrid>
        <w:gridCol w:w="9470"/>
        <w:gridCol w:w="140"/>
        <w:gridCol w:w="140"/>
        <w:gridCol w:w="440"/>
      </w:tblGrid>
      <w:tr>
        <w:trPr/>
        <w:tc>
          <w:tcPr>
            <w:tcW w:w="94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94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470"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PROSPECTUS 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SUM">
              <w:r>
                <w:rPr>
                  <w:rStyle w:val="InternetLink"/>
                  <w:rFonts w:ascii="Times New Roman;Times;serif" w:hAnsi="Times New Roman;Times;serif"/>
                  <w:color w:val="000000"/>
                  <w:sz w:val="20"/>
                </w:rPr>
                <w:t>1</w:t>
              </w:r>
            </w:hyperlink>
            <w:hyperlink w:anchor="tSUM">
              <w:r>
                <w:rPr>
                  <w:rStyle w:val="InternetLink"/>
                  <w:rFonts w:ascii="Times New Roman;Times;serif" w:hAnsi="Times New Roman;Times;serif"/>
                  <w:color w:val="000000"/>
                  <w:sz w:val="20"/>
                </w:rPr>
                <w:t xml:space="preserve"> </w:t>
              </w:r>
            </w:hyperlink>
          </w:p>
        </w:tc>
      </w:tr>
      <w:tr>
        <w:trPr/>
        <w:tc>
          <w:tcPr>
            <w:tcW w:w="9470" w:type="dxa"/>
            <w:tcBorders/>
            <w:vAlign w:val="center"/>
          </w:tcPr>
          <w:p>
            <w:pPr>
              <w:pStyle w:val="TableContents"/>
              <w:bidi w:val="0"/>
              <w:spacing w:before="0" w:after="283"/>
              <w:ind w:left="0" w:right="0" w:hanging="0"/>
              <w:jc w:val="left"/>
              <w:rPr/>
            </w:pPr>
            <w:hyperlink w:anchor="tTO">
              <w:r>
                <w:rPr>
                  <w:rStyle w:val="InternetLink"/>
                  <w:rFonts w:ascii="Times New Roman;Times;serif" w:hAnsi="Times New Roman;Times;serif"/>
                  <w:color w:val="000000"/>
                  <w:sz w:val="20"/>
                </w:rPr>
                <w:t>THE OFFERING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 w:right="0" w:hanging="0"/>
              <w:jc w:val="left"/>
              <w:rPr/>
            </w:pPr>
            <w:hyperlink w:anchor="tTO">
              <w:r>
                <w:rPr>
                  <w:rStyle w:val="InternetLink"/>
                  <w:rFonts w:ascii="Times New Roman;Times;serif" w:hAnsi="Times New Roman;Times;serif"/>
                  <w:color w:val="000000"/>
                  <w:sz w:val="20"/>
                </w:rPr>
                <w:t>9</w:t>
              </w:r>
            </w:hyperlink>
          </w:p>
        </w:tc>
      </w:tr>
      <w:tr>
        <w:trPr/>
        <w:tc>
          <w:tcPr>
            <w:tcW w:w="9470"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RF">
              <w:r>
                <w:rPr>
                  <w:rStyle w:val="InternetLink"/>
                  <w:rFonts w:ascii="Times New Roman;Times;serif" w:hAnsi="Times New Roman;Times;serif"/>
                  <w:color w:val="000000"/>
                  <w:sz w:val="20"/>
                </w:rPr>
                <w:t>12</w:t>
              </w:r>
            </w:hyperlink>
          </w:p>
        </w:tc>
      </w:tr>
      <w:tr>
        <w:trPr/>
        <w:tc>
          <w:tcPr>
            <w:tcW w:w="9470"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SPECIAL NOTE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 w:right="0" w:hanging="0"/>
              <w:jc w:val="left"/>
              <w:rPr/>
            </w:pPr>
            <w:hyperlink w:anchor="tFLS">
              <w:r>
                <w:rPr>
                  <w:rStyle w:val="InternetLink"/>
                  <w:rFonts w:ascii="Times New Roman;Times;serif" w:hAnsi="Times New Roman;Times;serif"/>
                  <w:color w:val="000000"/>
                  <w:sz w:val="20"/>
                </w:rPr>
                <w:t>20</w:t>
              </w:r>
            </w:hyperlink>
          </w:p>
        </w:tc>
      </w:tr>
      <w:tr>
        <w:trPr/>
        <w:tc>
          <w:tcPr>
            <w:tcW w:w="9470" w:type="dxa"/>
            <w:tcBorders/>
            <w:shd w:fill="CCEEFF" w:val="clear"/>
            <w:vAlign w:val="center"/>
          </w:tcPr>
          <w:p>
            <w:pPr>
              <w:pStyle w:val="TableContents"/>
              <w:bidi w:val="0"/>
              <w:spacing w:before="0" w:after="283"/>
              <w:ind w:left="0" w:right="0" w:hanging="0"/>
              <w:jc w:val="left"/>
              <w:rPr/>
            </w:pPr>
            <w:hyperlink w:anchor="tENF">
              <w:r>
                <w:rPr>
                  <w:rStyle w:val="InternetLink"/>
                  <w:rFonts w:ascii="Times New Roman;Times;serif" w:hAnsi="Times New Roman;Times;serif"/>
                  <w:color w:val="000000"/>
                  <w:sz w:val="20"/>
                </w:rPr>
                <w:t>ENFORCEABILITY OF CIVIL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ENF">
              <w:r>
                <w:rPr>
                  <w:rStyle w:val="InternetLink"/>
                  <w:rFonts w:ascii="Times New Roman;Times;serif" w:hAnsi="Times New Roman;Times;serif"/>
                  <w:color w:val="000000"/>
                  <w:sz w:val="20"/>
                </w:rPr>
                <w:t>21</w:t>
              </w:r>
            </w:hyperlink>
          </w:p>
        </w:tc>
      </w:tr>
      <w:tr>
        <w:trPr/>
        <w:tc>
          <w:tcPr>
            <w:tcW w:w="9470" w:type="dxa"/>
            <w:tcBorders/>
            <w:vAlign w:val="center"/>
          </w:tcPr>
          <w:p>
            <w:pPr>
              <w:pStyle w:val="TableContents"/>
              <w:bidi w:val="0"/>
              <w:spacing w:before="0" w:after="283"/>
              <w:ind w:left="0" w:right="0" w:hanging="0"/>
              <w:jc w:val="left"/>
              <w:rPr/>
            </w:pPr>
            <w:hyperlink w:anchor="tUSE">
              <w:r>
                <w:rPr>
                  <w:rStyle w:val="InternetLink"/>
                  <w:rFonts w:ascii="Times New Roman;Times;serif" w:hAnsi="Times New Roman;Times;serif"/>
                  <w:color w:val="000000"/>
                  <w:sz w:val="20"/>
                </w:rPr>
                <w:t>USE OF PROCEEDS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 w:right="0" w:hanging="0"/>
              <w:jc w:val="left"/>
              <w:rPr/>
            </w:pPr>
            <w:hyperlink w:anchor="tUSE">
              <w:r>
                <w:rPr>
                  <w:rStyle w:val="InternetLink"/>
                  <w:rFonts w:ascii="Times New Roman;Times;serif" w:hAnsi="Times New Roman;Times;serif"/>
                  <w:color w:val="000000"/>
                  <w:sz w:val="20"/>
                </w:rPr>
                <w:t>23</w:t>
              </w:r>
            </w:hyperlink>
          </w:p>
        </w:tc>
      </w:tr>
      <w:tr>
        <w:trPr/>
        <w:tc>
          <w:tcPr>
            <w:tcW w:w="9470" w:type="dxa"/>
            <w:tcBorders/>
            <w:shd w:fill="CCEEFF" w:val="clear"/>
            <w:vAlign w:val="center"/>
          </w:tcPr>
          <w:p>
            <w:pPr>
              <w:pStyle w:val="TableContents"/>
              <w:bidi w:val="0"/>
              <w:spacing w:before="0" w:after="283"/>
              <w:ind w:left="0" w:right="0" w:hanging="0"/>
              <w:jc w:val="left"/>
              <w:rPr/>
            </w:pPr>
            <w:hyperlink w:anchor="tDP">
              <w:r>
                <w:rPr>
                  <w:rStyle w:val="InternetLink"/>
                  <w:rFonts w:ascii="Times New Roman;Times;serif" w:hAnsi="Times New Roman;Times;serif"/>
                  <w:color w:val="000000"/>
                  <w:sz w:val="20"/>
                </w:rPr>
                <w:t>DIVIDEND POLICY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DP">
              <w:r>
                <w:rPr>
                  <w:rStyle w:val="InternetLink"/>
                  <w:rFonts w:ascii="Times New Roman;Times;serif" w:hAnsi="Times New Roman;Times;serif"/>
                  <w:color w:val="000000"/>
                  <w:sz w:val="20"/>
                </w:rPr>
                <w:t>24</w:t>
              </w:r>
            </w:hyperlink>
          </w:p>
        </w:tc>
      </w:tr>
      <w:tr>
        <w:trPr/>
        <w:tc>
          <w:tcPr>
            <w:tcW w:w="9470" w:type="dxa"/>
            <w:tcBorders/>
            <w:vAlign w:val="center"/>
          </w:tcPr>
          <w:p>
            <w:pPr>
              <w:pStyle w:val="TableContents"/>
              <w:bidi w:val="0"/>
              <w:spacing w:before="0" w:after="283"/>
              <w:ind w:left="0" w:right="0" w:hanging="0"/>
              <w:jc w:val="left"/>
              <w:rPr/>
            </w:pPr>
            <w:hyperlink w:anchor="tCAP">
              <w:r>
                <w:rPr>
                  <w:rStyle w:val="InternetLink"/>
                  <w:rFonts w:ascii="Times New Roman;Times;serif" w:hAnsi="Times New Roman;Times;serif"/>
                  <w:color w:val="000000"/>
                  <w:sz w:val="20"/>
                </w:rPr>
                <w:t>CAPITALIZATION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 w:right="0" w:hanging="0"/>
              <w:jc w:val="left"/>
              <w:rPr/>
            </w:pPr>
            <w:hyperlink w:anchor="tCAP">
              <w:r>
                <w:rPr>
                  <w:rStyle w:val="InternetLink"/>
                  <w:rFonts w:ascii="Times New Roman;Times;serif" w:hAnsi="Times New Roman;Times;serif"/>
                  <w:color w:val="000000"/>
                  <w:sz w:val="20"/>
                </w:rPr>
                <w:t>25</w:t>
              </w:r>
            </w:hyperlink>
          </w:p>
        </w:tc>
      </w:tr>
      <w:tr>
        <w:trPr/>
        <w:tc>
          <w:tcPr>
            <w:tcW w:w="9470" w:type="dxa"/>
            <w:tcBorders/>
            <w:shd w:fill="CCEEFF" w:val="clear"/>
            <w:vAlign w:val="center"/>
          </w:tcPr>
          <w:p>
            <w:pPr>
              <w:pStyle w:val="TableContents"/>
              <w:bidi w:val="0"/>
              <w:spacing w:before="0" w:after="283"/>
              <w:ind w:left="0" w:right="0" w:hanging="0"/>
              <w:jc w:val="left"/>
              <w:rPr/>
            </w:pPr>
            <w:hyperlink w:anchor="tDIL">
              <w:r>
                <w:rPr>
                  <w:rStyle w:val="InternetLink"/>
                  <w:rFonts w:ascii="Times New Roman;Times;serif" w:hAnsi="Times New Roman;Times;serif"/>
                  <w:color w:val="000000"/>
                  <w:sz w:val="20"/>
                </w:rPr>
                <w:t>DILUTION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DIL">
              <w:r>
                <w:rPr>
                  <w:rStyle w:val="InternetLink"/>
                  <w:rFonts w:ascii="Times New Roman;Times;serif" w:hAnsi="Times New Roman;Times;serif"/>
                  <w:color w:val="000000"/>
                  <w:sz w:val="20"/>
                </w:rPr>
                <w:t>26</w:t>
              </w:r>
            </w:hyperlink>
          </w:p>
        </w:tc>
      </w:tr>
      <w:tr>
        <w:trPr/>
        <w:tc>
          <w:tcPr>
            <w:tcW w:w="9470" w:type="dxa"/>
            <w:tcBorders/>
            <w:vAlign w:val="center"/>
          </w:tcPr>
          <w:p>
            <w:pPr>
              <w:pStyle w:val="TableContents"/>
              <w:bidi w:val="0"/>
              <w:spacing w:before="0" w:after="283"/>
              <w:ind w:left="0" w:right="0" w:hanging="0"/>
              <w:jc w:val="left"/>
              <w:rPr/>
            </w:pPr>
            <w:hyperlink w:anchor="tCO">
              <w:r>
                <w:rPr>
                  <w:rStyle w:val="InternetLink"/>
                  <w:rFonts w:ascii="Times New Roman;Times;serif" w:hAnsi="Times New Roman;Times;serif"/>
                  <w:color w:val="000000"/>
                  <w:sz w:val="20"/>
                </w:rPr>
                <w:t>CORPORATE HISTORY AND STRUCTURE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 w:right="0" w:hanging="0"/>
              <w:jc w:val="left"/>
              <w:rPr/>
            </w:pPr>
            <w:hyperlink w:anchor="tCO">
              <w:r>
                <w:rPr>
                  <w:rStyle w:val="InternetLink"/>
                  <w:rFonts w:ascii="Times New Roman;Times;serif" w:hAnsi="Times New Roman;Times;serif"/>
                  <w:color w:val="000000"/>
                  <w:sz w:val="20"/>
                </w:rPr>
                <w:t>27</w:t>
              </w:r>
            </w:hyperlink>
          </w:p>
        </w:tc>
      </w:tr>
      <w:tr>
        <w:trPr/>
        <w:tc>
          <w:tcPr>
            <w:tcW w:w="9470" w:type="dxa"/>
            <w:tcBorders/>
            <w:shd w:fill="CCEEFF" w:val="clear"/>
            <w:vAlign w:val="center"/>
          </w:tcPr>
          <w:p>
            <w:pPr>
              <w:pStyle w:val="TableContents"/>
              <w:bidi w:val="0"/>
              <w:spacing w:before="0" w:after="283"/>
              <w:ind w:left="200" w:right="0" w:hanging="200"/>
              <w:jc w:val="left"/>
              <w:rPr/>
            </w:pPr>
            <w:hyperlink w:anchor="tMDA">
              <w:r>
                <w:rPr>
                  <w:rStyle w:val="InternetLink"/>
                  <w:rFonts w:ascii="Times New Roman;Times;serif" w:hAnsi="Times New Roman;Times;serif"/>
                  <w:color w:val="000000"/>
                  <w:sz w:val="20"/>
                </w:rPr>
                <w:t>MANAGEMENT’S DISCUSSION AND ANALYSIS OF FINANCIAL CONDITION AND RESULTS OF OPERATIONS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MDA">
              <w:r>
                <w:rPr>
                  <w:rStyle w:val="InternetLink"/>
                  <w:rFonts w:ascii="Times New Roman;Times;serif" w:hAnsi="Times New Roman;Times;serif"/>
                  <w:color w:val="000000"/>
                  <w:sz w:val="20"/>
                </w:rPr>
                <w:t>30</w:t>
              </w:r>
            </w:hyperlink>
          </w:p>
        </w:tc>
      </w:tr>
      <w:tr>
        <w:trPr/>
        <w:tc>
          <w:tcPr>
            <w:tcW w:w="9470" w:type="dxa"/>
            <w:tcBorders/>
            <w:vAlign w:val="center"/>
          </w:tcPr>
          <w:p>
            <w:pPr>
              <w:pStyle w:val="TableContents"/>
              <w:bidi w:val="0"/>
              <w:spacing w:before="0" w:after="283"/>
              <w:ind w:left="0" w:right="0" w:hanging="0"/>
              <w:jc w:val="left"/>
              <w:rPr/>
            </w:pPr>
            <w:hyperlink w:anchor="tBUS">
              <w:r>
                <w:rPr>
                  <w:rStyle w:val="InternetLink"/>
                  <w:rFonts w:ascii="Times New Roman;Times;serif" w:hAnsi="Times New Roman;Times;serif"/>
                  <w:color w:val="000000"/>
                  <w:sz w:val="20"/>
                </w:rPr>
                <w:t>BUSINESS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 w:right="0" w:hanging="0"/>
              <w:jc w:val="left"/>
              <w:rPr/>
            </w:pPr>
            <w:hyperlink w:anchor="tBUS">
              <w:r>
                <w:rPr>
                  <w:rStyle w:val="InternetLink"/>
                  <w:rFonts w:ascii="Times New Roman;Times;serif" w:hAnsi="Times New Roman;Times;serif"/>
                  <w:color w:val="000000"/>
                  <w:sz w:val="20"/>
                </w:rPr>
                <w:t>30</w:t>
              </w:r>
            </w:hyperlink>
          </w:p>
        </w:tc>
      </w:tr>
      <w:tr>
        <w:trPr/>
        <w:tc>
          <w:tcPr>
            <w:tcW w:w="9470" w:type="dxa"/>
            <w:tcBorders/>
            <w:shd w:fill="CCEEFF" w:val="clear"/>
            <w:vAlign w:val="center"/>
          </w:tcPr>
          <w:p>
            <w:pPr>
              <w:pStyle w:val="TableContents"/>
              <w:bidi w:val="0"/>
              <w:spacing w:before="0" w:after="283"/>
              <w:ind w:left="0" w:right="0" w:hanging="0"/>
              <w:jc w:val="left"/>
              <w:rPr/>
            </w:pPr>
            <w:hyperlink w:anchor="tREG">
              <w:r>
                <w:rPr>
                  <w:rStyle w:val="InternetLink"/>
                  <w:rFonts w:ascii="Times New Roman;Times;serif" w:hAnsi="Times New Roman;Times;serif"/>
                  <w:color w:val="000000"/>
                  <w:sz w:val="20"/>
                </w:rPr>
                <w:t>REGULATIONS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REG">
              <w:r>
                <w:rPr>
                  <w:rStyle w:val="InternetLink"/>
                  <w:rFonts w:ascii="Times New Roman;Times;serif" w:hAnsi="Times New Roman;Times;serif"/>
                  <w:color w:val="000000"/>
                  <w:sz w:val="20"/>
                </w:rPr>
                <w:t>31</w:t>
              </w:r>
            </w:hyperlink>
          </w:p>
        </w:tc>
      </w:tr>
      <w:tr>
        <w:trPr/>
        <w:tc>
          <w:tcPr>
            <w:tcW w:w="9470" w:type="dxa"/>
            <w:tcBorders/>
            <w:vAlign w:val="center"/>
          </w:tcPr>
          <w:p>
            <w:pPr>
              <w:pStyle w:val="TableContents"/>
              <w:bidi w:val="0"/>
              <w:spacing w:before="0" w:after="283"/>
              <w:ind w:left="0" w:right="0" w:hanging="0"/>
              <w:jc w:val="left"/>
              <w:rPr/>
            </w:pPr>
            <w:hyperlink w:anchor="tMAN">
              <w:r>
                <w:rPr>
                  <w:rStyle w:val="InternetLink"/>
                  <w:rFonts w:ascii="Times New Roman;Times;serif" w:hAnsi="Times New Roman;Times;serif"/>
                  <w:color w:val="000000"/>
                  <w:sz w:val="20"/>
                </w:rPr>
                <w:t>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 w:right="0" w:hanging="0"/>
              <w:jc w:val="left"/>
              <w:rPr/>
            </w:pPr>
            <w:hyperlink w:anchor="tMAN">
              <w:r>
                <w:rPr>
                  <w:rStyle w:val="InternetLink"/>
                  <w:rFonts w:ascii="Times New Roman;Times;serif" w:hAnsi="Times New Roman;Times;serif"/>
                  <w:color w:val="000000"/>
                  <w:sz w:val="20"/>
                </w:rPr>
                <w:t>34</w:t>
              </w:r>
            </w:hyperlink>
          </w:p>
        </w:tc>
      </w:tr>
      <w:tr>
        <w:trPr/>
        <w:tc>
          <w:tcPr>
            <w:tcW w:w="9470" w:type="dxa"/>
            <w:tcBorders/>
            <w:shd w:fill="CCEEFF" w:val="clear"/>
            <w:vAlign w:val="center"/>
          </w:tcPr>
          <w:p>
            <w:pPr>
              <w:pStyle w:val="TableContents"/>
              <w:bidi w:val="0"/>
              <w:spacing w:before="0" w:after="283"/>
              <w:ind w:left="0" w:right="0" w:hanging="0"/>
              <w:jc w:val="left"/>
              <w:rPr/>
            </w:pPr>
            <w:hyperlink w:anchor="tPS">
              <w:r>
                <w:rPr>
                  <w:rStyle w:val="InternetLink"/>
                  <w:rFonts w:ascii="Times New Roman;Times;serif" w:hAnsi="Times New Roman;Times;serif"/>
                  <w:color w:val="000000"/>
                  <w:sz w:val="20"/>
                </w:rPr>
                <w:t>PRINCIPAL SHAREHOLDERS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PS">
              <w:r>
                <w:rPr>
                  <w:rStyle w:val="InternetLink"/>
                  <w:rFonts w:ascii="Times New Roman;Times;serif" w:hAnsi="Times New Roman;Times;serif"/>
                  <w:color w:val="000000"/>
                  <w:sz w:val="20"/>
                </w:rPr>
                <w:t>35</w:t>
              </w:r>
            </w:hyperlink>
          </w:p>
        </w:tc>
      </w:tr>
      <w:tr>
        <w:trPr/>
        <w:tc>
          <w:tcPr>
            <w:tcW w:w="9470" w:type="dxa"/>
            <w:tcBorders/>
            <w:vAlign w:val="center"/>
          </w:tcPr>
          <w:p>
            <w:pPr>
              <w:pStyle w:val="TableContents"/>
              <w:bidi w:val="0"/>
              <w:spacing w:before="0" w:after="283"/>
              <w:ind w:left="0" w:right="0" w:hanging="0"/>
              <w:jc w:val="left"/>
              <w:rPr/>
            </w:pPr>
            <w:hyperlink w:anchor="tRPT">
              <w:r>
                <w:rPr>
                  <w:rStyle w:val="InternetLink"/>
                  <w:rFonts w:ascii="Times New Roman;Times;serif" w:hAnsi="Times New Roman;Times;serif"/>
                  <w:color w:val="000000"/>
                  <w:sz w:val="20"/>
                </w:rPr>
                <w:t>RELATED PARTY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 w:right="0" w:hanging="0"/>
              <w:jc w:val="left"/>
              <w:rPr/>
            </w:pPr>
            <w:hyperlink w:anchor="tRPT">
              <w:r>
                <w:rPr>
                  <w:rStyle w:val="InternetLink"/>
                  <w:rFonts w:ascii="Times New Roman;Times;serif" w:hAnsi="Times New Roman;Times;serif"/>
                  <w:color w:val="000000"/>
                  <w:sz w:val="20"/>
                </w:rPr>
                <w:t>37</w:t>
              </w:r>
            </w:hyperlink>
          </w:p>
        </w:tc>
      </w:tr>
      <w:tr>
        <w:trPr/>
        <w:tc>
          <w:tcPr>
            <w:tcW w:w="9470" w:type="dxa"/>
            <w:tcBorders/>
            <w:shd w:fill="CCEEFF" w:val="clear"/>
            <w:vAlign w:val="center"/>
          </w:tcPr>
          <w:p>
            <w:pPr>
              <w:pStyle w:val="TableContents"/>
              <w:bidi w:val="0"/>
              <w:spacing w:before="0" w:after="283"/>
              <w:ind w:left="0" w:right="0" w:hanging="0"/>
              <w:jc w:val="left"/>
              <w:rPr/>
            </w:pPr>
            <w:hyperlink w:anchor="tDES">
              <w:r>
                <w:rPr>
                  <w:rStyle w:val="InternetLink"/>
                  <w:rFonts w:ascii="Times New Roman;Times;serif" w:hAnsi="Times New Roman;Times;serif"/>
                  <w:color w:val="000000"/>
                  <w:sz w:val="20"/>
                </w:rPr>
                <w:t>DESCRIPTION OF SHARE CAPITAL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DES">
              <w:r>
                <w:rPr>
                  <w:rStyle w:val="InternetLink"/>
                  <w:rFonts w:ascii="Times New Roman;Times;serif" w:hAnsi="Times New Roman;Times;serif"/>
                  <w:color w:val="000000"/>
                  <w:sz w:val="20"/>
                </w:rPr>
                <w:t>41</w:t>
              </w:r>
            </w:hyperlink>
          </w:p>
        </w:tc>
      </w:tr>
      <w:tr>
        <w:trPr/>
        <w:tc>
          <w:tcPr>
            <w:tcW w:w="9470" w:type="dxa"/>
            <w:tcBorders/>
            <w:vAlign w:val="center"/>
          </w:tcPr>
          <w:p>
            <w:pPr>
              <w:pStyle w:val="TableContents"/>
              <w:bidi w:val="0"/>
              <w:spacing w:before="0" w:after="283"/>
              <w:ind w:left="0" w:right="0" w:hanging="0"/>
              <w:jc w:val="left"/>
              <w:rPr/>
            </w:pPr>
            <w:hyperlink w:anchor="tSEF">
              <w:r>
                <w:rPr>
                  <w:rStyle w:val="InternetLink"/>
                  <w:rFonts w:ascii="Times New Roman;Times;serif" w:hAnsi="Times New Roman;Times;serif"/>
                  <w:color w:val="000000"/>
                  <w:sz w:val="20"/>
                </w:rPr>
                <w:t>SHARES ELIGIBLE FOR FUTURE SALE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 w:right="0" w:hanging="0"/>
              <w:jc w:val="left"/>
              <w:rPr/>
            </w:pPr>
            <w:hyperlink w:anchor="tSEF">
              <w:r>
                <w:rPr>
                  <w:rStyle w:val="InternetLink"/>
                  <w:rFonts w:ascii="Times New Roman;Times;serif" w:hAnsi="Times New Roman;Times;serif"/>
                  <w:color w:val="000000"/>
                  <w:sz w:val="20"/>
                </w:rPr>
                <w:t>44</w:t>
              </w:r>
            </w:hyperlink>
          </w:p>
        </w:tc>
      </w:tr>
      <w:tr>
        <w:trPr/>
        <w:tc>
          <w:tcPr>
            <w:tcW w:w="9470" w:type="dxa"/>
            <w:tcBorders/>
            <w:shd w:fill="CCEEFF" w:val="clear"/>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POD">
              <w:r>
                <w:rPr>
                  <w:rStyle w:val="InternetLink"/>
                  <w:rFonts w:ascii="Times New Roman;Times;serif" w:hAnsi="Times New Roman;Times;serif"/>
                  <w:color w:val="000000"/>
                  <w:sz w:val="20"/>
                </w:rPr>
                <w:t>45</w:t>
              </w:r>
            </w:hyperlink>
          </w:p>
        </w:tc>
      </w:tr>
      <w:tr>
        <w:trPr/>
        <w:tc>
          <w:tcPr>
            <w:tcW w:w="9470" w:type="dxa"/>
            <w:tcBorders/>
            <w:vAlign w:val="center"/>
          </w:tcPr>
          <w:p>
            <w:pPr>
              <w:pStyle w:val="TableContents"/>
              <w:bidi w:val="0"/>
              <w:spacing w:before="0" w:after="283"/>
              <w:ind w:left="0" w:right="0" w:hanging="0"/>
              <w:jc w:val="left"/>
              <w:rPr/>
            </w:pPr>
            <w:hyperlink w:anchor="tERT">
              <w:r>
                <w:rPr>
                  <w:rStyle w:val="InternetLink"/>
                  <w:rFonts w:ascii="Times New Roman;Times;serif" w:hAnsi="Times New Roman;Times;serif"/>
                  <w:color w:val="000000"/>
                  <w:sz w:val="20"/>
                </w:rPr>
                <w:t>EXPENSES RELATING TO THIS OFFERING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 w:right="0" w:hanging="0"/>
              <w:jc w:val="left"/>
              <w:rPr/>
            </w:pPr>
            <w:hyperlink w:anchor="tERT">
              <w:r>
                <w:rPr>
                  <w:rStyle w:val="InternetLink"/>
                  <w:rFonts w:ascii="Times New Roman;Times;serif" w:hAnsi="Times New Roman;Times;serif"/>
                  <w:color w:val="000000"/>
                  <w:sz w:val="20"/>
                </w:rPr>
                <w:t>47</w:t>
              </w:r>
            </w:hyperlink>
          </w:p>
        </w:tc>
      </w:tr>
      <w:tr>
        <w:trPr/>
        <w:tc>
          <w:tcPr>
            <w:tcW w:w="9470"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LM">
              <w:r>
                <w:rPr>
                  <w:rStyle w:val="InternetLink"/>
                  <w:rFonts w:ascii="Times New Roman;Times;serif" w:hAnsi="Times New Roman;Times;serif"/>
                  <w:color w:val="000000"/>
                  <w:sz w:val="20"/>
                </w:rPr>
                <w:t>48</w:t>
              </w:r>
            </w:hyperlink>
          </w:p>
        </w:tc>
      </w:tr>
      <w:tr>
        <w:trPr/>
        <w:tc>
          <w:tcPr>
            <w:tcW w:w="9470"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 w:right="0" w:hanging="0"/>
              <w:jc w:val="left"/>
              <w:rPr/>
            </w:pPr>
            <w:hyperlink w:anchor="tEXP">
              <w:r>
                <w:rPr>
                  <w:rStyle w:val="InternetLink"/>
                  <w:rFonts w:ascii="Times New Roman;Times;serif" w:hAnsi="Times New Roman;Times;serif"/>
                  <w:color w:val="000000"/>
                  <w:sz w:val="20"/>
                </w:rPr>
                <w:t>48</w:t>
              </w:r>
            </w:hyperlink>
          </w:p>
        </w:tc>
      </w:tr>
      <w:tr>
        <w:trPr/>
        <w:tc>
          <w:tcPr>
            <w:tcW w:w="9470" w:type="dxa"/>
            <w:tcBorders/>
            <w:shd w:fill="CCEEFF" w:val="clear"/>
            <w:vAlign w:val="center"/>
          </w:tcPr>
          <w:p>
            <w:pPr>
              <w:pStyle w:val="TableContents"/>
              <w:bidi w:val="0"/>
              <w:spacing w:before="0" w:after="283"/>
              <w:ind w:left="0" w:right="0" w:hanging="0"/>
              <w:jc w:val="left"/>
              <w:rPr/>
            </w:pPr>
            <w:hyperlink w:anchor="tCIR">
              <w:r>
                <w:rPr>
                  <w:rStyle w:val="InternetLink"/>
                  <w:rFonts w:ascii="Times New Roman;Times;serif" w:hAnsi="Times New Roman;Times;serif"/>
                  <w:color w:val="000000"/>
                  <w:sz w:val="20"/>
                </w:rPr>
                <w:t>CHANGE IN REGISTRANT’S CERTIFYING ACCOUNTANT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CIR">
              <w:r>
                <w:rPr>
                  <w:rStyle w:val="InternetLink"/>
                  <w:rFonts w:ascii="Times New Roman;Times;serif" w:hAnsi="Times New Roman;Times;serif"/>
                  <w:color w:val="000000"/>
                  <w:sz w:val="20"/>
                </w:rPr>
                <w:t>48</w:t>
              </w:r>
            </w:hyperlink>
          </w:p>
        </w:tc>
      </w:tr>
      <w:tr>
        <w:trPr/>
        <w:tc>
          <w:tcPr>
            <w:tcW w:w="947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 w:right="0" w:hanging="0"/>
              <w:jc w:val="left"/>
              <w:rPr/>
            </w:pPr>
            <w:hyperlink w:anchor="tWYC">
              <w:r>
                <w:rPr>
                  <w:rStyle w:val="InternetLink"/>
                  <w:rFonts w:ascii="Times New Roman;Times;serif" w:hAnsi="Times New Roman;Times;serif"/>
                  <w:color w:val="000000"/>
                  <w:sz w:val="20"/>
                </w:rPr>
                <w:t>48</w:t>
              </w:r>
            </w:hyperlink>
          </w:p>
        </w:tc>
      </w:tr>
      <w:tr>
        <w:trPr/>
        <w:tc>
          <w:tcPr>
            <w:tcW w:w="9470" w:type="dxa"/>
            <w:tcBorders/>
            <w:shd w:fill="CCEEFF" w:val="clear"/>
            <w:vAlign w:val="center"/>
          </w:tcPr>
          <w:p>
            <w:pPr>
              <w:pStyle w:val="TableContents"/>
              <w:bidi w:val="0"/>
              <w:spacing w:before="0" w:after="283"/>
              <w:ind w:left="0" w:right="0" w:hanging="0"/>
              <w:jc w:val="left"/>
              <w:rPr/>
            </w:pPr>
            <w:hyperlink w:anchor="tMC">
              <w:r>
                <w:rPr>
                  <w:rStyle w:val="InternetLink"/>
                  <w:rFonts w:ascii="Times New Roman;Times;serif" w:hAnsi="Times New Roman;Times;serif"/>
                  <w:color w:val="000000"/>
                  <w:sz w:val="20"/>
                </w:rPr>
                <w:t>MATERIAL CHANGES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MC">
              <w:r>
                <w:rPr>
                  <w:rStyle w:val="InternetLink"/>
                  <w:rFonts w:ascii="Times New Roman;Times;serif" w:hAnsi="Times New Roman;Times;serif"/>
                  <w:color w:val="000000"/>
                  <w:sz w:val="20"/>
                </w:rPr>
                <w:t>49</w:t>
              </w:r>
            </w:hyperlink>
          </w:p>
        </w:tc>
      </w:tr>
      <w:tr>
        <w:trPr/>
        <w:tc>
          <w:tcPr>
            <w:tcW w:w="9470" w:type="dxa"/>
            <w:tcBorders/>
            <w:vAlign w:val="center"/>
          </w:tcPr>
          <w:p>
            <w:pPr>
              <w:pStyle w:val="TableContents"/>
              <w:bidi w:val="0"/>
              <w:spacing w:before="0" w:after="283"/>
              <w:ind w:left="0" w:right="0" w:hanging="0"/>
              <w:jc w:val="left"/>
              <w:rPr/>
            </w:pPr>
            <w:hyperlink w:anchor="tICI">
              <w:r>
                <w:rPr>
                  <w:rStyle w:val="InternetLink"/>
                  <w:rFonts w:ascii="Times New Roman;Times;serif" w:hAnsi="Times New Roman;Times;serif"/>
                  <w:color w:val="000000"/>
                  <w:sz w:val="20"/>
                </w:rPr>
                <w:t>INCORPORATION OF CERTAIN INFORMATION BY REFERENCE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 w:right="0" w:hanging="0"/>
              <w:jc w:val="left"/>
              <w:rPr/>
            </w:pPr>
            <w:hyperlink w:anchor="tICI">
              <w:r>
                <w:rPr>
                  <w:rStyle w:val="InternetLink"/>
                  <w:rFonts w:ascii="Times New Roman;Times;serif" w:hAnsi="Times New Roman;Times;serif"/>
                  <w:color w:val="000000"/>
                  <w:sz w:val="20"/>
                </w:rPr>
                <w:t>50</w:t>
              </w:r>
            </w:hyperlink>
          </w:p>
        </w:tc>
      </w:tr>
      <w:tr>
        <w:trPr/>
        <w:tc>
          <w:tcPr>
            <w:tcW w:w="9470" w:type="dxa"/>
            <w:tcBorders/>
            <w:shd w:fill="CCEEFF" w:val="clear"/>
            <w:vAlign w:val="center"/>
          </w:tcPr>
          <w:p>
            <w:pPr>
              <w:pStyle w:val="TableContents"/>
              <w:bidi w:val="0"/>
              <w:spacing w:before="0" w:after="283"/>
              <w:ind w:left="0" w:right="0" w:hanging="0"/>
              <w:jc w:val="left"/>
              <w:rPr/>
            </w:pPr>
            <w:hyperlink w:anchor="tINFS">
              <w:r>
                <w:rPr>
                  <w:rStyle w:val="InternetLink"/>
                  <w:rFonts w:ascii="Times New Roman;Times;serif" w:hAnsi="Times New Roman;Times;serif"/>
                  <w:color w:val="000000"/>
                  <w:sz w:val="20"/>
                </w:rPr>
                <w:t>INDEX TO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INFS">
              <w:r>
                <w:rPr>
                  <w:rStyle w:val="InternetLink"/>
                  <w:rFonts w:ascii="Times New Roman;Times;serif" w:hAnsi="Times New Roman;Times;serif"/>
                  <w:color w:val="000000"/>
                  <w:sz w:val="20"/>
                </w:rPr>
                <w:t>F-1</w:t>
              </w:r>
            </w:hyperlink>
          </w:p>
        </w:tc>
      </w:tr>
      <w:tr>
        <w:trPr/>
        <w:tc>
          <w:tcPr>
            <w:tcW w:w="9470" w:type="dxa"/>
            <w:tcBorders/>
            <w:vAlign w:val="center"/>
          </w:tcPr>
          <w:p>
            <w:pPr>
              <w:pStyle w:val="TableContents"/>
              <w:bidi w:val="0"/>
              <w:spacing w:before="0" w:after="283"/>
              <w:ind w:left="0" w:right="0" w:hanging="0"/>
              <w:jc w:val="left"/>
              <w:rPr/>
            </w:pPr>
            <w:hyperlink w:anchor="tPART2">
              <w:r>
                <w:rPr>
                  <w:rStyle w:val="InternetLink"/>
                  <w:rFonts w:ascii="Times New Roman;Times;serif" w:hAnsi="Times New Roman;Times;serif"/>
                  <w:color w:val="000000"/>
                  <w:sz w:val="20"/>
                </w:rPr>
                <w:t>PART II INFORMATION NOT REQUIRED IN PROSPECTUS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5" w:right="0" w:hanging="0"/>
              <w:jc w:val="left"/>
              <w:rPr/>
            </w:pPr>
            <w:hyperlink w:anchor="tPART2">
              <w:r>
                <w:rPr>
                  <w:rStyle w:val="InternetLink"/>
                  <w:rFonts w:ascii="Times New Roman;Times;serif" w:hAnsi="Times New Roman;Times;serif"/>
                  <w:color w:val="000000"/>
                  <w:sz w:val="20"/>
                </w:rPr>
                <w:t>II-1</w:t>
              </w:r>
            </w:hyperlink>
          </w:p>
        </w:tc>
      </w:tr>
      <w:tr>
        <w:trPr/>
        <w:tc>
          <w:tcPr>
            <w:tcW w:w="9470" w:type="dxa"/>
            <w:tcBorders/>
            <w:shd w:fill="CCEEFF" w:val="clear"/>
            <w:vAlign w:val="center"/>
          </w:tcPr>
          <w:p>
            <w:pPr>
              <w:pStyle w:val="TableContents"/>
              <w:bidi w:val="0"/>
              <w:spacing w:before="0" w:after="283"/>
              <w:ind w:left="0" w:right="0" w:hanging="0"/>
              <w:jc w:val="left"/>
              <w:rPr/>
            </w:pPr>
            <w:hyperlink w:anchor="tSIG">
              <w:r>
                <w:rPr>
                  <w:rStyle w:val="InternetLink"/>
                  <w:rFonts w:ascii="Times New Roman;Times;serif" w:hAnsi="Times New Roman;Times;serif"/>
                  <w:color w:val="000000"/>
                  <w:sz w:val="20"/>
                </w:rPr>
                <w:t>SIGNATURES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5" w:right="0" w:hanging="0"/>
              <w:jc w:val="left"/>
              <w:rPr/>
            </w:pPr>
            <w:hyperlink w:anchor="tSIG">
              <w:r>
                <w:rPr>
                  <w:rStyle w:val="InternetLink"/>
                  <w:rFonts w:ascii="Times New Roman;Times;serif" w:hAnsi="Times New Roman;Times;serif"/>
                  <w:color w:val="000000"/>
                  <w:sz w:val="20"/>
                </w:rPr>
                <w:t>II-5</w:t>
              </w:r>
            </w:hyperlink>
          </w:p>
        </w:tc>
      </w:tr>
      <w:tr>
        <w:trPr/>
        <w:tc>
          <w:tcPr>
            <w:tcW w:w="94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w:t>
      </w:r>
    </w:p>
    <w:p>
      <w:pPr>
        <w:pStyle w:val="HorizontalLine"/>
        <w:bidi w:val="0"/>
        <w:spacing w:before="200" w:after="200"/>
        <w:jc w:val="left"/>
        <w:rPr/>
      </w:pPr>
      <w:r>
        <w:rPr/>
      </w:r>
    </w:p>
    <w:p>
      <w:pPr>
        <w:pStyle w:val="TextBody"/>
        <w:bidi w:val="0"/>
        <w:jc w:val="left"/>
        <w:rPr/>
      </w:pPr>
      <w:hyperlink w:anchor="TOC">
        <w:bookmarkStart w:id="9" w:name="ny20075344x1_posam_103-about_pg1"/>
        <w:bookmarkEnd w:id="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About this Prospectus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Neither we nor the Placement Agent have authorized anyone to provide any information or to make any representations other than those contained in or incorporated by reference into this prospectus or in any free writing prospectuses prepared by us or on our behalf or to which we have referred you. We take no responsibility for and can provide no assurance as to the reliability of, any other information that others may give you. This prospectus is an offer to sell the Ordinary Shares offered hereby, but only under circumstances and in jurisdictions where it is lawful to do so. We are not making an offer to sell these securities in any jurisdiction where the offer or sale is not permitted or where the person making the offer or sale is not qualified to do so or to any person to whom it is not permitted to make such offer or sale. For the avoidance of doubt, no offer or invitation to subscribe for the Ordinary Shares is made to the public in the British Virgin Islands. The information contained in this prospectus is current only as of the date on the front cover of the prospectus. Our business, financial condition, results of operations, and prospects may have changed since that date.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Neither we nor the Placement Agent have taken any action to permit this offering of securities outside the United States or to permit the possession or distribution of this prospectus or any filed free-writing prospectus outside the United States. Persons outside the United States who come into possession of this prospectus or any filed free writing prospectus must inform themselves about, and observe any restrictions relating to, the offering of securities and the distribution of this prospectus or any filed free-writing prospectus outside the United States.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w:t>
      </w:r>
    </w:p>
    <w:p>
      <w:pPr>
        <w:pStyle w:val="HorizontalLine"/>
        <w:bidi w:val="0"/>
        <w:spacing w:before="200" w:after="200"/>
        <w:jc w:val="left"/>
        <w:rPr/>
      </w:pPr>
      <w:r>
        <w:rPr/>
      </w:r>
    </w:p>
    <w:p>
      <w:pPr>
        <w:pStyle w:val="TextBody"/>
        <w:bidi w:val="0"/>
        <w:jc w:val="left"/>
        <w:rPr/>
      </w:pPr>
      <w:hyperlink w:anchor="TOC">
        <w:bookmarkStart w:id="10" w:name="ny20075344x1_posam_103-about_pg2"/>
        <w:bookmarkEnd w:id="1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Conventions that Apply to This Prospectus </w:t>
      </w:r>
    </w:p>
    <w:p>
      <w:pPr>
        <w:pStyle w:val="TextBody"/>
        <w:bidi w:val="0"/>
        <w:spacing w:before="14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Unless otherwise indicated or the context requires otherwise, references in this prospectus to: </w:t>
      </w:r>
    </w:p>
    <w:tbl>
      <w:tblPr>
        <w:tblW w:w="2995" w:type="dxa"/>
        <w:jc w:val="left"/>
        <w:tblInd w:w="0" w:type="dxa"/>
        <w:tblLayout w:type="fixed"/>
        <w:tblCellMar>
          <w:top w:w="0" w:type="dxa"/>
          <w:left w:w="0" w:type="dxa"/>
          <w:bottom w:w="0" w:type="dxa"/>
          <w:right w:w="0" w:type="dxa"/>
        </w:tblCellMar>
      </w:tblPr>
      <w:tblGrid>
        <w:gridCol w:w="110"/>
        <w:gridCol w:w="2885"/>
      </w:tblGrid>
      <w:tr>
        <w:trPr/>
        <w:tc>
          <w:tcPr>
            <w:tcW w:w="110" w:type="dxa"/>
            <w:tcBorders/>
            <w:vAlign w:val="center"/>
          </w:tcPr>
          <w:p>
            <w:pPr>
              <w:pStyle w:val="TableContents"/>
              <w:bidi w:val="0"/>
              <w:spacing w:before="0" w:after="0"/>
              <w:jc w:val="left"/>
              <w:rPr>
                <w:color w:val="000000"/>
              </w:rPr>
            </w:pPr>
            <w:r>
              <w:rPr>
                <w:color w:val="000000"/>
              </w:rPr>
              <w:t>•</w:t>
            </w:r>
          </w:p>
        </w:tc>
        <w:tc>
          <w:tcPr>
            <w:tcW w:w="28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APP” are to a mobile application;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Broker Cloud solutions” are to a combination of software licensing and related support services (as defined below), securities brokerage services, margin financing services (as defined below) and other related services provided to securities brokers, where securities brokers are provided with a perpetual on-premise licensed trading platform APP with related support services, and the front-, middle- and back-office operation functions and securities trading function where such securities trading orders can be cleared and settled through WSI; </w:t>
            </w:r>
          </w:p>
        </w:tc>
      </w:tr>
    </w:tbl>
    <w:tbl>
      <w:tblPr>
        <w:tblW w:w="7915" w:type="dxa"/>
        <w:jc w:val="left"/>
        <w:tblInd w:w="0" w:type="dxa"/>
        <w:tblLayout w:type="fixed"/>
        <w:tblCellMar>
          <w:top w:w="0" w:type="dxa"/>
          <w:left w:w="0" w:type="dxa"/>
          <w:bottom w:w="0" w:type="dxa"/>
          <w:right w:w="0" w:type="dxa"/>
        </w:tblCellMar>
      </w:tblPr>
      <w:tblGrid>
        <w:gridCol w:w="110"/>
        <w:gridCol w:w="7805"/>
      </w:tblGrid>
      <w:tr>
        <w:trPr/>
        <w:tc>
          <w:tcPr>
            <w:tcW w:w="11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BVI Companies Act” are to BVI Business Companies Act, 2004 as amended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China” or the “PRC” are to the People’s Republic of China, including the special administrative regions of Hong Kong and Macau, and Taiwan, for the purposes of this prospectus only;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Company”, “we”, “us”, or “our” are to Waton Financial Limited, a BVI business company incorporated under the laws of the British Virgin Islands, and when describing the financial results of Waton Financial Limited, also includes its consolidated subsidiaries, unless the context otherwise indicates; </w:t>
            </w:r>
          </w:p>
        </w:tc>
      </w:tr>
    </w:tbl>
    <w:tbl>
      <w:tblPr>
        <w:tblW w:w="3235" w:type="dxa"/>
        <w:jc w:val="left"/>
        <w:tblInd w:w="0" w:type="dxa"/>
        <w:tblLayout w:type="fixed"/>
        <w:tblCellMar>
          <w:top w:w="0" w:type="dxa"/>
          <w:left w:w="0" w:type="dxa"/>
          <w:bottom w:w="0" w:type="dxa"/>
          <w:right w:w="0" w:type="dxa"/>
        </w:tblCellMar>
      </w:tblPr>
      <w:tblGrid>
        <w:gridCol w:w="110"/>
        <w:gridCol w:w="3125"/>
      </w:tblGrid>
      <w:tr>
        <w:trPr/>
        <w:tc>
          <w:tcPr>
            <w:tcW w:w="110" w:type="dxa"/>
            <w:tcBorders/>
            <w:vAlign w:val="center"/>
          </w:tcPr>
          <w:p>
            <w:pPr>
              <w:pStyle w:val="TableContents"/>
              <w:bidi w:val="0"/>
              <w:spacing w:before="0" w:after="0"/>
              <w:jc w:val="left"/>
              <w:rPr>
                <w:color w:val="000000"/>
              </w:rPr>
            </w:pPr>
            <w:r>
              <w:rPr>
                <w:color w:val="000000"/>
              </w:rPr>
              <w:t>•</w:t>
            </w:r>
          </w:p>
        </w:tc>
        <w:tc>
          <w:tcPr>
            <w:tcW w:w="31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fintech” are to financial technology; </w:t>
            </w:r>
          </w:p>
        </w:tc>
      </w:tr>
    </w:tbl>
    <w:tbl>
      <w:tblPr>
        <w:tblW w:w="5305" w:type="dxa"/>
        <w:jc w:val="left"/>
        <w:tblInd w:w="0" w:type="dxa"/>
        <w:tblLayout w:type="fixed"/>
        <w:tblCellMar>
          <w:top w:w="0" w:type="dxa"/>
          <w:left w:w="0" w:type="dxa"/>
          <w:bottom w:w="0" w:type="dxa"/>
          <w:right w:w="0" w:type="dxa"/>
        </w:tblCellMar>
      </w:tblPr>
      <w:tblGrid>
        <w:gridCol w:w="110"/>
        <w:gridCol w:w="5195"/>
      </w:tblGrid>
      <w:tr>
        <w:trPr/>
        <w:tc>
          <w:tcPr>
            <w:tcW w:w="110" w:type="dxa"/>
            <w:tcBorders/>
            <w:vAlign w:val="center"/>
          </w:tcPr>
          <w:p>
            <w:pPr>
              <w:pStyle w:val="TableContents"/>
              <w:bidi w:val="0"/>
              <w:spacing w:before="0" w:after="0"/>
              <w:jc w:val="left"/>
              <w:rPr>
                <w:color w:val="000000"/>
              </w:rPr>
            </w:pPr>
            <w:r>
              <w:rPr>
                <w:color w:val="000000"/>
              </w:rPr>
              <w:t>•</w:t>
            </w:r>
          </w:p>
        </w:tc>
        <w:tc>
          <w:tcPr>
            <w:tcW w:w="51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Group” are to the Company and our subsidiaries, collectively;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HK$” and “Hong Kong dollars” are to the legal currency of Hong Kong; </w:t>
            </w:r>
          </w:p>
        </w:tc>
      </w:tr>
    </w:tbl>
    <w:tbl>
      <w:tblPr>
        <w:tblW w:w="5935" w:type="dxa"/>
        <w:jc w:val="left"/>
        <w:tblInd w:w="0" w:type="dxa"/>
        <w:tblLayout w:type="fixed"/>
        <w:tblCellMar>
          <w:top w:w="0" w:type="dxa"/>
          <w:left w:w="0" w:type="dxa"/>
          <w:bottom w:w="0" w:type="dxa"/>
          <w:right w:w="0" w:type="dxa"/>
        </w:tblCellMar>
      </w:tblPr>
      <w:tblGrid>
        <w:gridCol w:w="110"/>
        <w:gridCol w:w="5825"/>
      </w:tblGrid>
      <w:tr>
        <w:trPr/>
        <w:tc>
          <w:tcPr>
            <w:tcW w:w="110" w:type="dxa"/>
            <w:tcBorders/>
            <w:vAlign w:val="center"/>
          </w:tcPr>
          <w:p>
            <w:pPr>
              <w:pStyle w:val="TableContents"/>
              <w:bidi w:val="0"/>
              <w:spacing w:before="0" w:after="0"/>
              <w:jc w:val="left"/>
              <w:rPr>
                <w:color w:val="000000"/>
              </w:rPr>
            </w:pPr>
            <w:r>
              <w:rPr>
                <w:color w:val="000000"/>
              </w:rPr>
              <w:t>•</w:t>
            </w:r>
          </w:p>
        </w:tc>
        <w:tc>
          <w:tcPr>
            <w:tcW w:w="58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HKSFC” are to the Securities and Futures Commission of Hong Kong; </w:t>
            </w:r>
          </w:p>
        </w:tc>
      </w:tr>
    </w:tbl>
    <w:tbl>
      <w:tblPr>
        <w:tblW w:w="7900" w:type="dxa"/>
        <w:jc w:val="left"/>
        <w:tblInd w:w="0" w:type="dxa"/>
        <w:tblLayout w:type="fixed"/>
        <w:tblCellMar>
          <w:top w:w="0" w:type="dxa"/>
          <w:left w:w="0" w:type="dxa"/>
          <w:bottom w:w="0" w:type="dxa"/>
          <w:right w:w="0" w:type="dxa"/>
        </w:tblCellMar>
      </w:tblPr>
      <w:tblGrid>
        <w:gridCol w:w="110"/>
        <w:gridCol w:w="7790"/>
      </w:tblGrid>
      <w:tr>
        <w:trPr/>
        <w:tc>
          <w:tcPr>
            <w:tcW w:w="110" w:type="dxa"/>
            <w:tcBorders/>
            <w:vAlign w:val="center"/>
          </w:tcPr>
          <w:p>
            <w:pPr>
              <w:pStyle w:val="TableContents"/>
              <w:bidi w:val="0"/>
              <w:spacing w:before="0" w:after="0"/>
              <w:jc w:val="left"/>
              <w:rPr>
                <w:color w:val="000000"/>
              </w:rPr>
            </w:pPr>
            <w:r>
              <w:rPr>
                <w:color w:val="000000"/>
              </w:rPr>
              <w:t>•</w:t>
            </w:r>
          </w:p>
        </w:tc>
        <w:tc>
          <w:tcPr>
            <w:tcW w:w="77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HKSFO” are to the Securities and Futures Ordinance (Chapter 571 of the Laws of Hong Kong);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Hong Kong” are to the Hong Kong Special Administrative Region of the People’s Republic of China for the purposes of this prospectus only;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mainland China” or “Mainland China” are to the mainland of the People’s Republic of China, excluding Taiwan, the special administrative regions of Hong Kong and Macau for the purposes of this prospectus only; the term “Mainland Chinese” has a correlative meaning for the purpose of this 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margin financing services” are to the margin loans provided by WSI to its customers for their purchase of securities on the secondary market or for their subscription to shares offered under initial public offerings;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Memorandum and Articles of Association” are to the amended and restated memorandum and articles of association which are currently effective, as may be further amended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our subsidiaries” are to the Company’s subsidiaries, the financial statements of which are consolidated in the financial statements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PRC government”, “PRC governmental authority” or “PRC governmental authorities” are to the government and governmental authorities of mainland China, for the purposes of this prospectus only;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PRC laws” or “PRC laws and regulations” are to the laws and regulations of mainland China, for the purposes of this prospectus only; </w:t>
            </w:r>
          </w:p>
        </w:tc>
      </w:tr>
    </w:tbl>
    <w:tbl>
      <w:tblPr>
        <w:tblW w:w="5005" w:type="dxa"/>
        <w:jc w:val="left"/>
        <w:tblInd w:w="0" w:type="dxa"/>
        <w:tblLayout w:type="fixed"/>
        <w:tblCellMar>
          <w:top w:w="0" w:type="dxa"/>
          <w:left w:w="0" w:type="dxa"/>
          <w:bottom w:w="0" w:type="dxa"/>
          <w:right w:w="0" w:type="dxa"/>
        </w:tblCellMar>
      </w:tblPr>
      <w:tblGrid>
        <w:gridCol w:w="110"/>
        <w:gridCol w:w="4895"/>
      </w:tblGrid>
      <w:tr>
        <w:trPr/>
        <w:tc>
          <w:tcPr>
            <w:tcW w:w="11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RMB” and “Renminbi” are to the legal currency of China; </w:t>
            </w:r>
          </w:p>
        </w:tc>
      </w:tr>
    </w:tbl>
    <w:tbl>
      <w:tblPr>
        <w:tblW w:w="10075" w:type="dxa"/>
        <w:jc w:val="left"/>
        <w:tblInd w:w="0" w:type="dxa"/>
        <w:tblLayout w:type="fixed"/>
        <w:tblCellMar>
          <w:top w:w="0" w:type="dxa"/>
          <w:left w:w="0" w:type="dxa"/>
          <w:bottom w:w="0" w:type="dxa"/>
          <w:right w:w="0" w:type="dxa"/>
        </w:tblCellMar>
      </w:tblPr>
      <w:tblGrid>
        <w:gridCol w:w="110"/>
        <w:gridCol w:w="9965"/>
      </w:tblGrid>
      <w:tr>
        <w:trPr/>
        <w:tc>
          <w:tcPr>
            <w:tcW w:w="110" w:type="dxa"/>
            <w:tcBorders/>
            <w:vAlign w:val="center"/>
          </w:tcPr>
          <w:p>
            <w:pPr>
              <w:pStyle w:val="TableContents"/>
              <w:bidi w:val="0"/>
              <w:spacing w:before="0" w:after="0"/>
              <w:jc w:val="left"/>
              <w:rPr>
                <w:color w:val="000000"/>
              </w:rPr>
            </w:pPr>
            <w:r>
              <w:rPr>
                <w:color w:val="000000"/>
              </w:rPr>
              <w:t>•</w:t>
            </w:r>
          </w:p>
        </w:tc>
        <w:tc>
          <w:tcPr>
            <w:tcW w:w="99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shares”, “Shares” or “Ordinary Shares” are to the ordinary shares of Waton Financial Limited, with no par value per share;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software licensing and related support services” are to a range of fintech services, including, but not limited to, the licensing of a trading platform APP with securities trading, clearing and settlement functions and the front-, middle- and back-office operation functions, optional cloud-based maintenance and support services, unspecified updates and enhancements, and related support services provided by WSI or WTI to securities brokers and securities-related financial institutions;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US$”, “$”, “U.S. dollars” and “USD” are to the legal currency of the United States;</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iii</w:t>
      </w:r>
    </w:p>
    <w:p>
      <w:pPr>
        <w:pStyle w:val="HorizontalLine"/>
        <w:bidi w:val="0"/>
        <w:spacing w:before="200" w:after="200"/>
        <w:jc w:val="left"/>
        <w:rPr/>
      </w:pPr>
      <w:r>
        <w:rPr/>
      </w:r>
    </w:p>
    <w:p>
      <w:pPr>
        <w:pStyle w:val="TextBody"/>
        <w:bidi w:val="0"/>
        <w:jc w:val="left"/>
        <w:rPr/>
      </w:pPr>
      <w:hyperlink w:anchor="TOC">
        <w:bookmarkStart w:id="11" w:name="ny20075344x1_posam_103-about_pg3"/>
        <w:bookmarkEnd w:id="11"/>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WSI” are to our wholly-owned subsidiary, Waton Securities International Limited (</w:t>
            </w:r>
            <w:r>
              <w:rPr>
                <w:rFonts w:ascii="Times New Roman;Times;serif" w:hAnsi="Times New Roman;Times;serif"/>
                <w:color w:val="000000"/>
                <w:sz w:val="20"/>
              </w:rPr>
              <w:drawing>
                <wp:inline distT="0" distB="0" distL="0" distR="0">
                  <wp:extent cx="1019175" cy="10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19175" cy="104775"/>
                          </a:xfrm>
                          <a:prstGeom prst="rect">
                            <a:avLst/>
                          </a:prstGeom>
                        </pic:spPr>
                      </pic:pic>
                    </a:graphicData>
                  </a:graphic>
                </wp:inline>
              </w:drawing>
            </w:r>
            <w:r>
              <w:rPr>
                <w:rFonts w:ascii="Times New Roman;Times;serif" w:hAnsi="Times New Roman;Times;serif"/>
                <w:color w:val="000000"/>
                <w:sz w:val="20"/>
              </w:rPr>
              <w:t>), a limited liability company incorporated in Hong Kong on April 28, 1989, formerly known as WATON SECURITIES (INTERNATIONAL) LIMITED (</w:t>
            </w:r>
            <w:r>
              <w:rPr>
                <w:rFonts w:ascii="Times New Roman;Times;serif" w:hAnsi="Times New Roman;Times;serif"/>
                <w:color w:val="000000"/>
                <w:sz w:val="20"/>
              </w:rPr>
              <w:drawing>
                <wp:inline distT="0" distB="0" distL="0" distR="0">
                  <wp:extent cx="1019175" cy="104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19175" cy="104775"/>
                          </a:xfrm>
                          <a:prstGeom prst="rect">
                            <a:avLst/>
                          </a:prstGeom>
                        </pic:spPr>
                      </pic:pic>
                    </a:graphicData>
                  </a:graphic>
                </wp:inline>
              </w:drawing>
            </w:r>
            <w:r>
              <w:rPr>
                <w:rFonts w:ascii="Times New Roman;Times;serif" w:hAnsi="Times New Roman;Times;serif"/>
                <w:color w:val="000000"/>
                <w:sz w:val="20"/>
              </w:rPr>
              <w:t>) from November 17, 2022 to November 30, 2022, HUATONG SECURITIES INT'L LIMITED (</w:t>
            </w:r>
            <w:r>
              <w:rPr>
                <w:rFonts w:ascii="Times New Roman;Times;serif" w:hAnsi="Times New Roman;Times;serif"/>
                <w:color w:val="000000"/>
                <w:sz w:val="20"/>
              </w:rPr>
              <w:drawing>
                <wp:inline distT="0" distB="0" distL="0" distR="0">
                  <wp:extent cx="1019175" cy="104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19175" cy="104775"/>
                          </a:xfrm>
                          <a:prstGeom prst="rect">
                            <a:avLst/>
                          </a:prstGeom>
                        </pic:spPr>
                      </pic:pic>
                    </a:graphicData>
                  </a:graphic>
                </wp:inline>
              </w:drawing>
            </w:r>
            <w:r>
              <w:rPr>
                <w:rFonts w:ascii="Times New Roman;Times;serif" w:hAnsi="Times New Roman;Times;serif"/>
                <w:color w:val="000000"/>
                <w:sz w:val="20"/>
              </w:rPr>
              <w:t>) from August 9, 2022 to November 16, 2022, INFAST BROKERAGE LIMITED (</w:t>
            </w:r>
            <w:r>
              <w:rPr>
                <w:rFonts w:ascii="Times New Roman;Times;serif" w:hAnsi="Times New Roman;Times;serif"/>
                <w:color w:val="000000"/>
                <w:sz w:val="20"/>
              </w:rPr>
              <w:drawing>
                <wp:inline distT="0" distB="0" distL="0" distR="0">
                  <wp:extent cx="809625" cy="104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9625" cy="104775"/>
                          </a:xfrm>
                          <a:prstGeom prst="rect">
                            <a:avLst/>
                          </a:prstGeom>
                        </pic:spPr>
                      </pic:pic>
                    </a:graphicData>
                  </a:graphic>
                </wp:inline>
              </w:drawing>
            </w:r>
            <w:r>
              <w:rPr>
                <w:rFonts w:ascii="Times New Roman;Times;serif" w:hAnsi="Times New Roman;Times;serif"/>
                <w:color w:val="000000"/>
                <w:sz w:val="20"/>
              </w:rPr>
              <w:t>) from June 20, 1990 to August 8, 2022, and JONESHORN LIMITED (</w:t>
            </w:r>
            <w:r>
              <w:rPr>
                <w:rFonts w:ascii="Times New Roman;Times;serif" w:hAnsi="Times New Roman;Times;serif"/>
                <w:color w:val="000000"/>
                <w:sz w:val="20"/>
              </w:rPr>
              <w:drawing>
                <wp:inline distT="0" distB="0" distL="0" distR="0">
                  <wp:extent cx="609600" cy="104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09600" cy="104775"/>
                          </a:xfrm>
                          <a:prstGeom prst="rect">
                            <a:avLst/>
                          </a:prstGeom>
                        </pic:spPr>
                      </pic:pic>
                    </a:graphicData>
                  </a:graphic>
                </wp:inline>
              </w:drawing>
            </w:r>
            <w:r>
              <w:rPr>
                <w:rFonts w:ascii="Times New Roman;Times;serif" w:hAnsi="Times New Roman;Times;serif"/>
                <w:color w:val="000000"/>
                <w:sz w:val="20"/>
              </w:rPr>
              <w:t xml:space="preserve">) from April 28, 1989 to June 19, 1990;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WTF Technology” are to WTF Technology (Hangzhou) Co. Ltd., a limited liability company which is 100% owned by WTI and was incorporated in Hangzhou City, Mainland China on February 10, 2026;</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WTI” are to our wholly-owned subsidiary, Waton Technology International Limited (</w:t>
            </w:r>
            <w:r>
              <w:rPr>
                <w:rFonts w:ascii="Times New Roman;Times;serif" w:hAnsi="Times New Roman;Times;serif"/>
                <w:color w:val="000000"/>
                <w:sz w:val="20"/>
              </w:rPr>
              <w:drawing>
                <wp:inline distT="0" distB="0" distL="0" distR="0">
                  <wp:extent cx="1019175" cy="104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19175" cy="104775"/>
                          </a:xfrm>
                          <a:prstGeom prst="rect">
                            <a:avLst/>
                          </a:prstGeom>
                        </pic:spPr>
                      </pic:pic>
                    </a:graphicData>
                  </a:graphic>
                </wp:inline>
              </w:drawing>
            </w:r>
            <w:r>
              <w:rPr>
                <w:rFonts w:ascii="Times New Roman;Times;serif" w:hAnsi="Times New Roman;Times;serif"/>
                <w:color w:val="000000"/>
                <w:sz w:val="20"/>
              </w:rPr>
              <w:t xml:space="preserve">), a limited liability company incorporated in Hong Kong on February 24, 2023. </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conduct business primarily in Hong Kong through our subsidiaries, including WSI and WTI, primarily using Hong Kong dollars, the currency of Hong Kong. Our consolidated financial statements are presented in U.S. dollars. In this prospectus, we refer to assets, obligations, commitments and liabilities in our consolidated financial statements in U.S. dollars. These dollar references are based on the exchange rate of Hong Kong dollars to U.S. dollars, determined as of a specific date or for a specific period. Since 1983, Hong Kong dollars have been pegged to the U.S. dollars at the rate of approximately HK$7.80 to US$1.00. Changes in the exchange rate will affect the amount of our obligations and the value of our assets in terms of U.S. dollars which may result in an increase or decrease in the amount of our obligations (expressed in U.S. dollars) and the value of our assets, including accounts receivable (expressed in U.S. dollars).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iv</w:t>
      </w:r>
    </w:p>
    <w:p>
      <w:pPr>
        <w:pStyle w:val="HorizontalLine"/>
        <w:bidi w:val="0"/>
        <w:spacing w:before="200" w:after="200"/>
        <w:jc w:val="left"/>
        <w:rPr/>
      </w:pPr>
      <w:r>
        <w:rPr/>
      </w:r>
    </w:p>
    <w:p>
      <w:pPr>
        <w:pStyle w:val="TextBody"/>
        <w:bidi w:val="0"/>
        <w:jc w:val="left"/>
        <w:rPr/>
      </w:pPr>
      <w:hyperlink w:anchor="TOC">
        <w:bookmarkStart w:id="12" w:name="ny20075344x1_posam_104-summary_pg1"/>
        <w:bookmarkEnd w:id="1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shd w:fill="FFFFFF" w:val="clear"/>
        </w:rPr>
      </w:pPr>
      <w:bookmarkStart w:id="13" w:name="tSUM"/>
      <w:bookmarkEnd w:id="13"/>
      <w:r>
        <w:rPr>
          <w:rFonts w:ascii="Times New Roman;Times;serif" w:hAnsi="Times New Roman;Times;serif"/>
          <w:b/>
          <w:color w:val="000000"/>
          <w:sz w:val="20"/>
          <w:bdr w:val="single" w:sz="8" w:space="12" w:color="000000"/>
          <w:shd w:fill="FFFFFF" w:val="clear"/>
        </w:rPr>
        <w:t xml:space="preserve">PROSPECTUS SUMMARY </w:t>
      </w:r>
    </w:p>
    <w:p>
      <w:pPr>
        <w:pStyle w:val="TextBody"/>
        <w:bidi w:val="0"/>
        <w:spacing w:before="24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Investors are cautioned that you are buying shares of a British Virgin Islands holding company without operations of its own. </w:t>
      </w:r>
    </w:p>
    <w:p>
      <w:pPr>
        <w:pStyle w:val="TextBody"/>
        <w:bidi w:val="0"/>
        <w:spacing w:before="120" w:after="240"/>
        <w:ind w:left="240" w:right="0" w:hanging="0"/>
        <w:jc w:val="both"/>
        <w:rPr>
          <w:rFonts w:ascii="Times New Roman;Times;serif" w:hAnsi="Times New Roman;Times;serif"/>
          <w:i/>
          <w:color w:val="000000"/>
          <w:sz w:val="20"/>
          <w:bdr w:val="single" w:sz="8" w:space="12" w:color="000000"/>
          <w:shd w:fill="FFFFFF" w:val="clear"/>
        </w:rPr>
      </w:pPr>
      <w:r>
        <w:rPr>
          <w:rFonts w:ascii="Times New Roman;Times;serif" w:hAnsi="Times New Roman;Times;serif"/>
          <w:i/>
          <w:color w:val="000000"/>
          <w:sz w:val="20"/>
          <w:bdr w:val="single" w:sz="8" w:space="12" w:color="000000"/>
          <w:shd w:fill="FFFFFF" w:val="clear"/>
        </w:rPr>
        <w:t>The following summary is qualified in its entirety by, and should be read in conjunction with, the more detailed information and financial statements incorporated by reference in this prospectus. In addition to this summary, we urge you to read the entire prospectus carefully, especially the risks of investing in our securities, discussed under “Risk Factors” and “Item 3. Key Information — D. Risk Factors” in our 2025 Annual Report before deciding whether to invest in our securities. The reader should not put undue reliance on any forward-looking statements in this document, which speak only as of the date on the cover of this prospectus.</w:t>
      </w:r>
      <w:r>
        <w:rPr>
          <w:rFonts w:ascii="Times New Roman;Times;serif" w:hAnsi="Times New Roman;Times;serif"/>
          <w:i/>
          <w:caps w:val="false"/>
          <w:smallCaps w:val="false"/>
          <w:color w:val="000000"/>
          <w:sz w:val="20"/>
          <w:bdr w:val="single" w:sz="8" w:space="12" w:color="000000"/>
          <w:shd w:fill="FFFFFF" w:val="clear"/>
        </w:rPr>
        <w:t xml:space="preserve"> </w:t>
      </w:r>
    </w:p>
    <w:p>
      <w:pPr>
        <w:pStyle w:val="TextBody"/>
        <w:bidi w:val="0"/>
        <w:spacing w:before="37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Overview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We are a holding company incorporated in the British Virgin Islands. We are a provider of securities brokerage and financial technology services primarily through our Hong Kong subsidiaries, Waton Securities International Limited, or WSI, and Waton Technology International Limited, or WTI.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WSI is principally engaged in the provision of (i) securities brokerage services for securities listed on the Hong Kong Stock Exchange, including shares under the Shanghai-Hong Kong Stock Connect and Shenzhen-Hong Kong Stock Connect, the New York Stock Exchange (NYSE) and the Nasdaq Stock Market, margin financing services and other ancillary services through WSI’s electronic trading platform to its corporate and individual brokerage customers and bond distribution services; and (ii) software licensing (including subscription based) and related support services including the licensing of trading platform APP, upgrades and enhancements, maintenance and other related services (“M&amp;S”) to financial institutions. Since September 2023, WTI has provided software licensing (including subscription based) and related support services in order to focus on the expertise of operations and service areas. WSI has developed and provided Broker Cloud solutions to securities brokers with the combination of software licensing (including subscription based) and related support services, securities brokerage services, margin financing services and other related services, where securities broker customers are provided with a perpetual on-premise licensed trading platform APP and optional related support services, with the front-, middle- and back-office operation functions and securities trading function where securities trading orders can be cleared and settled through WSI.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Founded in 1989, WSI is an established integrated securities broker in the Hong Kong financial services industry. WSI is licensed to conduct Type 1 (dealing in securities), Type 4 (advising on securities), Type 5 (advising on futures contracts) and Type 9 (asset management) regulated activities under HKSFO in Hong Kong. WSI is a Hong Kong Stock Exchange participant and holds one Hong Kong Stock Exchange trading right. WSI provides securities brokerage services through WSI’s integrated electronic trading platform, which is easy to access, use, and deposit to WSI’s customers. The trading platform can be accessed through WSI’s APP, which provides WSI’s customers with a seamless and secured trading experience. WSI offers its customers comprehensive brokerage and value-added services, including trade order placement and execution, account management, and customer support. WSI further provides its customers with market data, news and research, so as to help them make well-informed investment decisions. WSI has accumulated a corporate and individual customer base across the globe, including a securities brokerage company in New Zealand known as Wealth Guardian Investment Limited (“WGI”), which is a related party of the Company. We have historically derived a substantial portion of revenues from WGI, which accounted for 64.2%, 39.5% and 81.5% of our total revenues in the fiscal years ended March 31, 2025, 2024, and 2023, respectively, and approximately 36.6% and 68.0% of our total revenues for the six months ended September 30, 2025 and 2024, respectively. WGI was a significant customer in our recent financial reporting periods, however, effective in October 2025, WGI ceased being our customer. We anticipate that another New Zealand incorporated customer may contribute substantial revenue in the near future, but we can provide no assurance as of the date of this prospectus that any such entity will do so at the same level as WGI historically has or will contribute in a manner that will offset the loss of WGI sufficient to impact future results.</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See “</w:t>
      </w:r>
      <w:r>
        <w:rPr>
          <w:rFonts w:ascii="Times New Roman;Times;serif" w:hAnsi="Times New Roman;Times;serif"/>
          <w:i/>
          <w:color w:val="000000"/>
          <w:sz w:val="20"/>
          <w:bdr w:val="single" w:sz="8" w:space="12" w:color="000000"/>
          <w:shd w:fill="FFFFFF" w:val="clear"/>
        </w:rPr>
        <w:t>Related Party Transactions,</w:t>
      </w:r>
      <w:r>
        <w:rPr>
          <w:rFonts w:ascii="Times New Roman;Times;serif" w:hAnsi="Times New Roman;Times;serif"/>
          <w:color w:val="000000"/>
          <w:sz w:val="20"/>
          <w:bdr w:val="single" w:sz="8" w:space="12" w:color="000000"/>
          <w:shd w:fill="FFFFFF" w:val="clear"/>
        </w:rPr>
        <w:t>” “</w:t>
      </w:r>
      <w:r>
        <w:rPr>
          <w:rFonts w:ascii="Times New Roman;Times;serif" w:hAnsi="Times New Roman;Times;serif"/>
          <w:i/>
          <w:color w:val="000000"/>
          <w:sz w:val="20"/>
          <w:bdr w:val="single" w:sz="8" w:space="12" w:color="000000"/>
          <w:shd w:fill="FFFFFF" w:val="clear"/>
        </w:rPr>
        <w:t>Risk Factors — Risks Related to Our Subsidiaries’ Business and Industry”</w:t>
      </w:r>
      <w:r>
        <w:rPr>
          <w:rFonts w:ascii="Times New Roman;Times;serif" w:hAnsi="Times New Roman;Times;serif"/>
          <w:color w:val="000000"/>
          <w:sz w:val="20"/>
          <w:bdr w:val="single" w:sz="8" w:space="12" w:color="000000"/>
          <w:shd w:fill="FFFFFF" w:val="clear"/>
        </w:rPr>
        <w:t xml:space="preserve"> in our 2025 Annual Report and “</w:t>
      </w:r>
      <w:r>
        <w:rPr>
          <w:rFonts w:ascii="Times New Roman;Times;serif" w:hAnsi="Times New Roman;Times;serif"/>
          <w:i/>
          <w:color w:val="000000"/>
          <w:sz w:val="20"/>
          <w:bdr w:val="single" w:sz="8" w:space="12" w:color="000000"/>
          <w:shd w:fill="FFFFFF" w:val="clear"/>
        </w:rPr>
        <w:t xml:space="preserve">Risk Factors — Risks Related to Our Subsidiaries’ Business and Industry — We have historically derived a substantial portion of revenue from WGI, a single related party customer. The recent loss of WGI as a substantial customer will have an adverse impact on our revenues in the near term if it is not replaced with one or more customers that generate the same volume of revenues, which could materially and adversely affect our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w:t>
      </w:r>
    </w:p>
    <w:p>
      <w:pPr>
        <w:pStyle w:val="HorizontalLine"/>
        <w:bidi w:val="0"/>
        <w:spacing w:before="200" w:after="200"/>
        <w:jc w:val="left"/>
        <w:rPr/>
      </w:pPr>
      <w:r>
        <w:rPr/>
      </w:r>
    </w:p>
    <w:p>
      <w:pPr>
        <w:pStyle w:val="TextBody"/>
        <w:bidi w:val="0"/>
        <w:jc w:val="left"/>
        <w:rPr/>
      </w:pPr>
      <w:hyperlink w:anchor="TOC">
        <w:bookmarkStart w:id="14" w:name="ny20075344x1_posam_104-summary_pg2"/>
        <w:bookmarkEnd w:id="1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both"/>
        <w:rPr>
          <w:rFonts w:ascii="Times New Roman;Times;serif" w:hAnsi="Times New Roman;Times;serif"/>
          <w:i/>
          <w:color w:val="000000"/>
          <w:sz w:val="20"/>
          <w:bdr w:val="single" w:sz="8" w:space="12" w:color="000000"/>
          <w:shd w:fill="FFFFFF" w:val="clear"/>
        </w:rPr>
      </w:pPr>
      <w:r>
        <w:rPr>
          <w:rFonts w:ascii="Times New Roman;Times;serif" w:hAnsi="Times New Roman;Times;serif"/>
          <w:i/>
          <w:color w:val="000000"/>
          <w:sz w:val="20"/>
          <w:bdr w:val="single" w:sz="8" w:space="12" w:color="000000"/>
          <w:shd w:fill="FFFFFF" w:val="clear"/>
        </w:rPr>
        <w:t>financial results.</w:t>
      </w:r>
      <w:r>
        <w:rPr>
          <w:rFonts w:ascii="Times New Roman;Times;serif" w:hAnsi="Times New Roman;Times;serif"/>
          <w:i/>
          <w:caps w:val="false"/>
          <w:smallCaps w:val="false"/>
          <w:color w:val="000000"/>
          <w:sz w:val="20"/>
          <w:bdr w:val="single" w:sz="8" w:space="12" w:color="000000"/>
          <w:shd w:fill="FFFFFF" w:val="clear"/>
        </w:rPr>
        <w:t xml:space="preserve">” </w:t>
      </w:r>
      <w:r>
        <w:rPr>
          <w:rFonts w:ascii="Times New Roman;Times;serif" w:hAnsi="Times New Roman;Times;serif"/>
          <w:i w:val="false"/>
          <w:caps w:val="false"/>
          <w:smallCaps w:val="false"/>
          <w:color w:val="000000"/>
          <w:sz w:val="20"/>
          <w:bdr w:val="single" w:sz="8" w:space="12" w:color="000000"/>
          <w:shd w:fill="FFFFFF" w:val="clear"/>
        </w:rPr>
        <w:t xml:space="preserve">By capitalizing on its customer base, WSI commenced to provide bond distribution services by acting as a manager, a placement agent or a non-syndicate capital market intermediary, to procure subscribers to subscribe and pay for bonds in principal amounts during the fiscal year ended March 31, 2024. As of September 30, 2025, WSI had more than 10,000 securities brokerage customers who opened trading accounts with WSI, 90 of which are corporate customers who opened corporate accounts and 12 of which are introducing broker customers who opened omnibus accounts. The remaining portion of the securities brokerage customers are individual customers who opened individual accounts and typically trade through WSI’s trading platform APP. As of the same date, WSI had approximately 1,300 active customers, who were registered customers with assets in their trading accounts. We generate brokerage and commission income from WSI’s securities brokerage, bond distribution and other ancillary services and interest income from WSI’s margin financing services. Our brokerage and commission income and interest income amounted to approximately US$5.5 million, US$9.4 million, and US$2.3 million, and accounted for approximately 74.4%, 93.4% and 39.9% of our total revenues for the fiscal years ended March 31, 2025, 2024, and 2023, respectively, and amounted to approximately US$5.1 million and US$1.8 million, and accounted for approximately 84.0% and 61.3% of our total revenues for the six months ended September 30, 2025 and 2024, respectively.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Leveraging on WSI’s accumulated industry knowledge on the needs of small and medium-sized securities brokers and operational experience in online brokerage over the years, WSI started to develop the provision of fintech solutions in trading platform APP software licensing (including subscription based) and related support services targeting the securities brokers and securities-related financial institutions in April 2021. WSI provides one-stop, integrated and customized software solutions to develop trading platform APP that cover the front-, middle- and back-office operations of securities brokerage business such as electronic trade order placing, customer relationship management and operational data management, in addition to the business-to-business securities order clearing and settlement services provided by WSI in the Broker Cloud solutions, which enables the securities broker customers to digitalize and streamline their business operations, and interact with the financial market more efficiently. As of September 30, 2025, WTI provided software licensing (including subscription based) and related support services to a total of 3 securities brokers and securities-related financial institutions, including WGI, which is a related party of the Company. See “</w:t>
      </w:r>
      <w:r>
        <w:rPr>
          <w:rFonts w:ascii="Times New Roman;Times;serif" w:hAnsi="Times New Roman;Times;serif"/>
          <w:i/>
          <w:color w:val="000000"/>
          <w:sz w:val="20"/>
          <w:bdr w:val="single" w:sz="8" w:space="12" w:color="000000"/>
          <w:shd w:fill="FFFFFF" w:val="clear"/>
        </w:rPr>
        <w:t>Related Party Transactions</w:t>
      </w:r>
      <w:r>
        <w:rPr>
          <w:rFonts w:ascii="Times New Roman;Times;serif" w:hAnsi="Times New Roman;Times;serif"/>
          <w:color w:val="000000"/>
          <w:sz w:val="20"/>
          <w:bdr w:val="single" w:sz="8" w:space="12" w:color="000000"/>
          <w:shd w:fill="FFFFFF" w:val="clear"/>
        </w:rPr>
        <w:t>” and “</w:t>
      </w:r>
      <w:r>
        <w:rPr>
          <w:rFonts w:ascii="Times New Roman;Times;serif" w:hAnsi="Times New Roman;Times;serif"/>
          <w:i/>
          <w:color w:val="000000"/>
          <w:sz w:val="20"/>
          <w:bdr w:val="single" w:sz="8" w:space="12" w:color="000000"/>
          <w:shd w:fill="FFFFFF" w:val="clear"/>
        </w:rPr>
        <w:t xml:space="preserve">Risk Factors — Risks Related to Our Subsidiaries’ Business and Industry — We have historically derived a substantial portion of revenue from WGI, a single related party customer. The recent loss of WGI as a substantial customer will have an adverse impact on our revenues in the near term if it is not replaced with one or more customers that generate the same volume of revenues, which could materially and adversely affect our financial results.” </w:t>
      </w:r>
      <w:r>
        <w:rPr>
          <w:rFonts w:ascii="Times New Roman;Times;serif" w:hAnsi="Times New Roman;Times;serif"/>
          <w:color w:val="000000"/>
          <w:sz w:val="20"/>
          <w:bdr w:val="single" w:sz="8" w:space="12" w:color="000000"/>
          <w:shd w:fill="FFFFFF" w:val="clear"/>
        </w:rPr>
        <w:t>We generate software licensing and related support service income from WSI’s and WTI’s software licensing (including subscription based) and related support services, which amounted to approximately US$1.8 million, US$1.4 million, and US$3.5 million, and accounted for approximately 24.2%, 13.7% and 60.1% of our total revenues for the fiscal years ended March 31, 2025, 2024, and 2023, respectively, and amounted to approximately US$0.7 million and US$1.1 million, and accounted for approximately 10.8% and 38.7% of our total revenues for the six months ended September 30, 2025 and 2024, respectively. WSI and WTI have outsourced the software licensing (including subscription based) and related support services to Shenzhen Jinhui Technology Co., Ltd., which was a related party of the Company. See “</w:t>
      </w:r>
      <w:r>
        <w:rPr>
          <w:rFonts w:ascii="Times New Roman;Times;serif" w:hAnsi="Times New Roman;Times;serif"/>
          <w:i/>
          <w:color w:val="000000"/>
          <w:sz w:val="20"/>
          <w:bdr w:val="single" w:sz="8" w:space="12" w:color="000000"/>
          <w:shd w:fill="FFFFFF" w:val="clear"/>
        </w:rPr>
        <w:t>Related Party Transactions</w:t>
      </w:r>
      <w:r>
        <w:rPr>
          <w:rFonts w:ascii="Times New Roman;Times;serif" w:hAnsi="Times New Roman;Times;serif"/>
          <w:color w:val="000000"/>
          <w:sz w:val="20"/>
          <w:bdr w:val="single" w:sz="8" w:space="12" w:color="000000"/>
          <w:shd w:fill="FFFFFF" w:val="clear"/>
        </w:rPr>
        <w:t>” and “</w:t>
      </w:r>
      <w:r>
        <w:rPr>
          <w:rFonts w:ascii="Times New Roman;Times;serif" w:hAnsi="Times New Roman;Times;serif"/>
          <w:i/>
          <w:color w:val="000000"/>
          <w:sz w:val="20"/>
          <w:bdr w:val="single" w:sz="8" w:space="12" w:color="000000"/>
          <w:shd w:fill="FFFFFF" w:val="clear"/>
        </w:rPr>
        <w:t>Risk Factors — Risks Related to Our Subsidiaries’ Business and Industry — WSI and WTI are dependent on a single supplier, Shenzhen Jinhui Technology Co., Ltd., an information technology company, for providing software development and related support services</w:t>
      </w:r>
      <w:r>
        <w:rPr>
          <w:rFonts w:ascii="Times New Roman;Times;serif" w:hAnsi="Times New Roman;Times;serif"/>
          <w:color w:val="000000"/>
          <w:sz w:val="20"/>
          <w:bdr w:val="single" w:sz="8" w:space="12" w:color="000000"/>
          <w:shd w:fill="FFFFFF" w:val="clear"/>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Our revenues increased by approximately 106.3% to approximately US$6.1 million for the six months ended September 30, 2025 from approximately US$3.0 million for the same period in 2024. Our revenues decreased by approximately 25.9% from approximately US$10.1 million for the fiscal year ended March 31, 2024 to approximately US$7.5 million for the fiscal year ended March 31, 2025. Our revenues grew by approximately 75.2% from approximately US$5.7 million for the fiscal year ended March 31, 2023 to approximately US$10.1 million for the fiscal year ended March 31, 2024. Approximately 64.2%, 39.5% and 81.5% of the total revenues for the fiscal years ended March 31, 2025, 2024, and 2023, and approximately 36.6% and 68.0% of our total revenues for the six months ended September 30, 2025 and 2024, respectively, were derived from WGI, a related party of the Company. Our net loss was approximately US$12.0 million for the fiscal year ended March 31, 2025, compared to net income of approximately US$2.5 million and US$3.1 million for the fiscal years ended March 31, 2024 and 2023, respectively. Our net loss was approximately US$8.4 million for the six months ended September 30, 2025, compared to approximately US$1.1 million for the same period in 2024. Our adjusted net loss, which excludes share-based compensation expenses and its related income tax effects, was approximately US$3.2 million for the fiscal year ended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w:t>
      </w:r>
    </w:p>
    <w:p>
      <w:pPr>
        <w:pStyle w:val="HorizontalLine"/>
        <w:bidi w:val="0"/>
        <w:spacing w:before="200" w:after="200"/>
        <w:jc w:val="left"/>
        <w:rPr/>
      </w:pPr>
      <w:r>
        <w:rPr/>
      </w:r>
    </w:p>
    <w:p>
      <w:pPr>
        <w:pStyle w:val="TextBody"/>
        <w:bidi w:val="0"/>
        <w:jc w:val="left"/>
        <w:rPr/>
      </w:pPr>
      <w:hyperlink w:anchor="TOC">
        <w:bookmarkStart w:id="15" w:name="ny20075344x1_posam_104-summary_pg3"/>
        <w:bookmarkEnd w:id="1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March 31, 2025, compared to the adjusted net income of approximately US$2.5 million and US$3.4 million for the fiscal years ended March 31, 2024 and 2023, respectively. Our adjusted net loss, which excludes share-based compensation expenses and its related income tax effects, was approximately US$2.3 million for the six months ended September 30, 2025, compared to the adjusted net loss of approximately US$1.1 million for the six months ended September 30, 2024. </w:t>
      </w:r>
    </w:p>
    <w:p>
      <w:pPr>
        <w:pStyle w:val="TextBody"/>
        <w:bidi w:val="0"/>
        <w:spacing w:before="24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Our Competitive Strengths </w:t>
      </w:r>
    </w:p>
    <w:p>
      <w:pPr>
        <w:pStyle w:val="TextBody"/>
        <w:bidi w:val="0"/>
        <w:spacing w:before="140" w:after="240"/>
        <w:ind w:left="2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We believe the following competitive strengths have contributed, and will contribute, to our growth: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Major fintech service provider of integrated, accessible, expedited and cost-effective software licensing and related support services, which are adaptive to the specific demands of small and medium-sized securities brokers.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fintech services benefit securities broker customers with the integrated upstream industry supply chain and the growth potential of downstream end user markets.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business lines of services along the securities brokerage industry value chain generate a diversified revenue mix and build customer loyalty. </w:t>
            </w:r>
          </w:p>
        </w:tc>
      </w:tr>
    </w:tbl>
    <w:tbl>
      <w:tblPr>
        <w:tblW w:w="4030" w:type="dxa"/>
        <w:jc w:val="left"/>
        <w:tblInd w:w="240" w:type="dxa"/>
        <w:tblLayout w:type="fixed"/>
        <w:tblCellMar>
          <w:top w:w="0" w:type="dxa"/>
          <w:left w:w="0" w:type="dxa"/>
          <w:bottom w:w="0" w:type="dxa"/>
          <w:right w:w="0" w:type="dxa"/>
        </w:tblCellMar>
      </w:tblPr>
      <w:tblGrid>
        <w:gridCol w:w="110"/>
        <w:gridCol w:w="3920"/>
      </w:tblGrid>
      <w:tr>
        <w:trPr/>
        <w:tc>
          <w:tcPr>
            <w:tcW w:w="110" w:type="dxa"/>
            <w:tcBorders/>
            <w:vAlign w:val="center"/>
          </w:tcPr>
          <w:p>
            <w:pPr>
              <w:pStyle w:val="TableContents"/>
              <w:bidi w:val="0"/>
              <w:spacing w:before="0" w:after="0"/>
              <w:jc w:val="left"/>
              <w:rPr>
                <w:color w:val="000000"/>
              </w:rPr>
            </w:pPr>
            <w:r>
              <w:rPr>
                <w:color w:val="000000"/>
              </w:rPr>
              <w:t>•</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Visionary and Experienced Management Team. </w:t>
            </w:r>
          </w:p>
        </w:tc>
      </w:tr>
    </w:tbl>
    <w:p>
      <w:pPr>
        <w:pStyle w:val="TextBody"/>
        <w:bidi w:val="0"/>
        <w:spacing w:before="24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Our Growth Strategies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Our business model, competitive strengths and licensing qualifications provide us multiple avenues of growth. We are committed to the digital transformation of financial services in the securities brokerage industry through the following key strategies: </w:t>
      </w:r>
    </w:p>
    <w:tbl>
      <w:tblPr>
        <w:tblW w:w="8920" w:type="dxa"/>
        <w:jc w:val="left"/>
        <w:tblInd w:w="240" w:type="dxa"/>
        <w:tblLayout w:type="fixed"/>
        <w:tblCellMar>
          <w:top w:w="0" w:type="dxa"/>
          <w:left w:w="0" w:type="dxa"/>
          <w:bottom w:w="0" w:type="dxa"/>
          <w:right w:w="0" w:type="dxa"/>
        </w:tblCellMar>
      </w:tblPr>
      <w:tblGrid>
        <w:gridCol w:w="110"/>
        <w:gridCol w:w="8810"/>
      </w:tblGrid>
      <w:tr>
        <w:trPr/>
        <w:tc>
          <w:tcPr>
            <w:tcW w:w="110" w:type="dxa"/>
            <w:tcBorders/>
            <w:vAlign w:val="center"/>
          </w:tcPr>
          <w:p>
            <w:pPr>
              <w:pStyle w:val="TableContents"/>
              <w:bidi w:val="0"/>
              <w:spacing w:before="0" w:after="0"/>
              <w:jc w:val="left"/>
              <w:rPr>
                <w:color w:val="000000"/>
              </w:rPr>
            </w:pPr>
            <w:r>
              <w:rPr>
                <w:color w:val="000000"/>
              </w:rPr>
              <w:t>•</w:t>
            </w:r>
          </w:p>
        </w:tc>
        <w:tc>
          <w:tcPr>
            <w:tcW w:w="88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Continue to expand our customer base in the financial services industry through software licensing services. </w:t>
            </w:r>
          </w:p>
        </w:tc>
      </w:tr>
    </w:tbl>
    <w:tbl>
      <w:tblPr>
        <w:tblW w:w="8635" w:type="dxa"/>
        <w:jc w:val="left"/>
        <w:tblInd w:w="240" w:type="dxa"/>
        <w:tblLayout w:type="fixed"/>
        <w:tblCellMar>
          <w:top w:w="0" w:type="dxa"/>
          <w:left w:w="0" w:type="dxa"/>
          <w:bottom w:w="0" w:type="dxa"/>
          <w:right w:w="0" w:type="dxa"/>
        </w:tblCellMar>
      </w:tblPr>
      <w:tblGrid>
        <w:gridCol w:w="110"/>
        <w:gridCol w:w="8525"/>
      </w:tblGrid>
      <w:tr>
        <w:trPr/>
        <w:tc>
          <w:tcPr>
            <w:tcW w:w="110" w:type="dxa"/>
            <w:tcBorders/>
            <w:vAlign w:val="center"/>
          </w:tcPr>
          <w:p>
            <w:pPr>
              <w:pStyle w:val="TableContents"/>
              <w:bidi w:val="0"/>
              <w:spacing w:before="0" w:after="0"/>
              <w:jc w:val="left"/>
              <w:rPr>
                <w:color w:val="000000"/>
              </w:rPr>
            </w:pPr>
            <w:r>
              <w:rPr>
                <w:color w:val="000000"/>
              </w:rPr>
              <w:t>•</w:t>
            </w:r>
          </w:p>
        </w:tc>
        <w:tc>
          <w:tcPr>
            <w:tcW w:w="85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Enhance our existing services, develop our asset management business and expand our service offerings.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Focus on product and technology innovation and further strengthen our securities brokerage services and software licensing services. </w:t>
            </w:r>
          </w:p>
        </w:tc>
      </w:tr>
    </w:tbl>
    <w:tbl>
      <w:tblPr>
        <w:tblW w:w="4930" w:type="dxa"/>
        <w:jc w:val="left"/>
        <w:tblInd w:w="240" w:type="dxa"/>
        <w:tblLayout w:type="fixed"/>
        <w:tblCellMar>
          <w:top w:w="0" w:type="dxa"/>
          <w:left w:w="0" w:type="dxa"/>
          <w:bottom w:w="0" w:type="dxa"/>
          <w:right w:w="0" w:type="dxa"/>
        </w:tblCellMar>
      </w:tblPr>
      <w:tblGrid>
        <w:gridCol w:w="110"/>
        <w:gridCol w:w="4820"/>
      </w:tblGrid>
      <w:tr>
        <w:trPr/>
        <w:tc>
          <w:tcPr>
            <w:tcW w:w="110" w:type="dxa"/>
            <w:tcBorders/>
            <w:vAlign w:val="center"/>
          </w:tcPr>
          <w:p>
            <w:pPr>
              <w:pStyle w:val="TableContents"/>
              <w:bidi w:val="0"/>
              <w:spacing w:before="0" w:after="0"/>
              <w:jc w:val="left"/>
              <w:rPr>
                <w:color w:val="000000"/>
              </w:rPr>
            </w:pPr>
            <w:r>
              <w:rPr>
                <w:color w:val="000000"/>
              </w:rPr>
              <w:t>•</w:t>
            </w:r>
          </w:p>
        </w:tc>
        <w:tc>
          <w:tcPr>
            <w:tcW w:w="4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Pursue investment, acquisition and strategic opportunities. </w:t>
            </w:r>
          </w:p>
        </w:tc>
      </w:tr>
    </w:tbl>
    <w:tbl>
      <w:tblPr>
        <w:tblW w:w="3505" w:type="dxa"/>
        <w:jc w:val="left"/>
        <w:tblInd w:w="240" w:type="dxa"/>
        <w:tblLayout w:type="fixed"/>
        <w:tblCellMar>
          <w:top w:w="0" w:type="dxa"/>
          <w:left w:w="0" w:type="dxa"/>
          <w:bottom w:w="0" w:type="dxa"/>
          <w:right w:w="0" w:type="dxa"/>
        </w:tblCellMar>
      </w:tblPr>
      <w:tblGrid>
        <w:gridCol w:w="110"/>
        <w:gridCol w:w="3395"/>
      </w:tblGrid>
      <w:tr>
        <w:trPr/>
        <w:tc>
          <w:tcPr>
            <w:tcW w:w="110" w:type="dxa"/>
            <w:tcBorders/>
            <w:vAlign w:val="center"/>
          </w:tcPr>
          <w:p>
            <w:pPr>
              <w:pStyle w:val="TableContents"/>
              <w:bidi w:val="0"/>
              <w:spacing w:before="0" w:after="0"/>
              <w:jc w:val="left"/>
              <w:rPr>
                <w:color w:val="000000"/>
              </w:rPr>
            </w:pPr>
            <w:r>
              <w:rPr>
                <w:color w:val="000000"/>
              </w:rPr>
              <w:t>•</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Continue to attract and retain top talents. </w:t>
            </w:r>
          </w:p>
        </w:tc>
      </w:tr>
    </w:tbl>
    <w:p>
      <w:pPr>
        <w:pStyle w:val="TextBody"/>
        <w:bidi w:val="0"/>
        <w:spacing w:before="24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Our Corporate Structure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The Company was incorporated under the laws of the British Virgin Islands with limited liability. The Company holds equity interests in its subsidiaries in Hong Kong, Mainland China, the Cayman Islands and the British Virgin Islands. Investors are purchasing the securities of the Company, a British Virgin Islands holding company, and not in its subsidiaries. This corporate structure involves unique risks to investors. As a holding company, the Company may rely on dividends from its subsidiaries for cash requirements, including any payment of dividends to its shareholders. The subsidiaries’ ability to pay dividends to the Company may be restricted by the debt the subsidiaries incur on their own or laws and regulations applicable to them. See “</w:t>
      </w:r>
      <w:r>
        <w:rPr>
          <w:rFonts w:ascii="Times New Roman;Times;serif" w:hAnsi="Times New Roman;Times;serif"/>
          <w:i/>
          <w:color w:val="000000"/>
          <w:sz w:val="20"/>
          <w:bdr w:val="single" w:sz="8" w:space="12" w:color="000000"/>
          <w:shd w:fill="FFFFFF" w:val="clear"/>
        </w:rPr>
        <w:t>Item 3. Key Information — D. Risk Factors — Risks Related to Our Ordinary Shares— We rely on dividends and other distributions on equity paid by our subsidiaries to fund any cash and financing requirements we may have, and any limitation on the ability of our subsidiaries to make payments may restrict our ability to finance our cash requirements, service debt or make dividends or other distributions to our shareholders</w:t>
      </w:r>
      <w:r>
        <w:rPr>
          <w:rFonts w:ascii="Times New Roman;Times;serif" w:hAnsi="Times New Roman;Times;serif"/>
          <w:color w:val="000000"/>
          <w:sz w:val="20"/>
          <w:bdr w:val="single" w:sz="8" w:space="12" w:color="000000"/>
          <w:shd w:fill="FFFFFF" w:val="clear"/>
        </w:rPr>
        <w:t xml:space="preserve">” in our 2025 Annual Report.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The Company owns 100% of the issued shares of Waton Securities International Limited (“WSI”), a limited liability company incorporated in Hong Kong on April 28, 1989, 100% of the issued shares of Waton Technology International Limited (“WTI”), a limited liability company incorporated in Hong Kong on February 24, 2023, 100% of the issued shares of Waton Sponsor Limited (“WSL”), a BVI business company incorporated in the British Virgin Islands on September 7, 2023, and 100% of the issued shares of Descart Limited (“Descart”), a stock corporation incorporated in the State of Delaware on February 23, 2024.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WSI owns 100% of the issued shares of Infast Asset Management Co., Limited (“IAM”), a limited liability company incorporated in Hong Kong on October 30, 2012, and 100% of the issued management shares of Waton Investment Global SPC (“WIG SPC”), an exempted segregated portfolio company incorporated in Cayman Islands on May 12, 2022.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w:t>
      </w:r>
    </w:p>
    <w:p>
      <w:pPr>
        <w:pStyle w:val="HorizontalLine"/>
        <w:bidi w:val="0"/>
        <w:spacing w:before="200" w:after="200"/>
        <w:jc w:val="left"/>
        <w:rPr/>
      </w:pPr>
      <w:r>
        <w:rPr/>
      </w:r>
    </w:p>
    <w:p>
      <w:pPr>
        <w:pStyle w:val="TextBody"/>
        <w:bidi w:val="0"/>
        <w:jc w:val="left"/>
        <w:rPr/>
      </w:pPr>
      <w:hyperlink w:anchor="TOC">
        <w:bookmarkStart w:id="16" w:name="ny20075344x1_posam_104-summary_pg4"/>
        <w:bookmarkEnd w:id="1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WTI owns 100% of the issued shares of WTF Technology, a limited liability company incorporated under the PRC laws on February 10, 2026.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Waton Sponsor Limited owns 100% of the issued shares of Love &amp; Health Limited (“L&amp;H”), an exempted company incorporated in the Cayman Islands on October 3, 2023.</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Furthermore, WSL, IAM, Descart, WIG SPC, WTF Technology, and L&amp;H are incorporated for the purpose of expanding our service offerings and in alignment with our long-term development plan. As of the date of this prospectus, the following subsidiaries have commenced operations: (i) WSI, through WIG SPC, has set up five segregated portfolios under WIG SPC to develop WSI’s asset management business, among which, two segregated portfolios have been launched; (ii) WSL has engaged in the formation and sponsorship of L&amp;H, being a special purpose acquisition company (“SPAC”), as well as the proposed initial public offering of the securities of L&amp;H; and (iii) Descart commenced hiring U.S.-based employees in April 2026. As of the date of this prospectus, IAM, Descart, WTF Technology, and L&amp;H have minimal operations. WTF Technology is intended to operate as a technical support and R&amp;D center, functioning as a cost center. </w:t>
      </w:r>
      <w:r>
        <w:rPr>
          <w:rFonts w:ascii="Times New Roman;Times;serif" w:hAnsi="Times New Roman;Times;serif"/>
          <w:i/>
          <w:color w:val="000000"/>
          <w:sz w:val="20"/>
          <w:bdr w:val="single" w:sz="8" w:space="12" w:color="000000"/>
          <w:shd w:fill="FFFFFF" w:val="clear"/>
        </w:rPr>
        <w:t>See “Corporate History and Structure” for more information</w:t>
      </w:r>
      <w:r>
        <w:rPr>
          <w:rFonts w:ascii="Times New Roman;Times;serif" w:hAnsi="Times New Roman;Times;serif"/>
          <w:color w:val="000000"/>
          <w:sz w:val="20"/>
          <w:bdr w:val="single" w:sz="8" w:space="12" w:color="000000"/>
          <w:shd w:fill="FFFFFF" w:val="clear"/>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The following chart illustrates our corporate structure, including our principal operating subsidiaries, as of the date of this prospectus, without considering the effect of this offering. The percentages shown on the following chart represent percentages of equity ownership: </w:t>
      </w:r>
    </w:p>
    <w:p>
      <w:pPr>
        <w:pStyle w:val="TextBody"/>
        <w:bidi w:val="0"/>
        <w:spacing w:before="295" w:after="240"/>
        <w:jc w:val="center"/>
        <w:rPr>
          <w:color w:val="000000"/>
          <w:bdr w:val="single" w:sz="8" w:space="12" w:color="000000"/>
          <w:shd w:fill="FFFFFF" w:val="clear"/>
        </w:rPr>
      </w:pPr>
      <w:r>
        <w:rPr>
          <w:color w:val="000000"/>
          <w:bdr w:val="single" w:sz="8" w:space="12" w:color="000000"/>
          <w:shd w:fill="FFFFFF" w:val="clear"/>
        </w:rPr>
        <w:drawing>
          <wp:inline distT="0" distB="0" distL="0" distR="0">
            <wp:extent cx="5591175" cy="3495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591175" cy="3495675"/>
                    </a:xfrm>
                    <a:prstGeom prst="rect">
                      <a:avLst/>
                    </a:prstGeom>
                  </pic:spPr>
                </pic:pic>
              </a:graphicData>
            </a:graphic>
          </wp:inline>
        </w:drawing>
      </w:r>
    </w:p>
    <w:p>
      <w:pPr>
        <w:pStyle w:val="TextBody"/>
        <w:bidi w:val="0"/>
        <w:spacing w:before="0" w:after="240"/>
        <w:ind w:left="240" w:right="0" w:hanging="0"/>
        <w:jc w:val="left"/>
        <w:rPr>
          <w:color w:val="000000"/>
          <w:bdr w:val="single" w:sz="8" w:space="12" w:color="000000"/>
          <w:shd w:fill="FFFFFF" w:val="clear"/>
        </w:rPr>
      </w:pPr>
      <w:r>
        <w:rPr>
          <w:color w:val="000000"/>
          <w:bdr w:val="single" w:sz="8" w:space="12" w:color="000000"/>
          <w:shd w:fill="FFFFFF" w:val="clear"/>
        </w:rPr>
        <w:t> </w:t>
      </w:r>
    </w:p>
    <w:p>
      <w:pPr>
        <w:pStyle w:val="TextBody"/>
        <w:bidi w:val="0"/>
        <w:spacing w:before="24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Our Securities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On April 1, 2025, our Ordinary Shares commenced trading on the Nasdaq Capital Market under the symbol “WTF.” On April 2, 2025, we closed our initial public offering (the “IPO”) of 4,375,000 Ordinary Shares at a public offering price of $4.00 per share. Gross proceeds of our IPO totaled approximately US$17.50 million, before deducting underwriting discounts and other offering-related expenses. Simultaneously with the closing of the IPO, the Company also issued and sold an additional 656,250 Ordinary Shares, pursuant to the full exercise of the over-allotment option granted to the underwriters in connection with the IPO, at the public offering price of US$4.00 per share. As a result, the Company raised additional gross proceeds of US$2.63 million, before deducting underwriting discounts and offering expenses.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Unless the context requires otherwise, all references to the number of Ordinary Shares to be outstanding after this offering are based on an aggregate of 53,597,191 Ordinary Shares issued and outstanding, assuming the sale of all of the Ordinary Shares we are offering, excluding the number of Ordinary Shares issuable upon vesting of our outstanding restricted share units as of the date of this prospectus.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w:t>
      </w:r>
    </w:p>
    <w:p>
      <w:pPr>
        <w:pStyle w:val="HorizontalLine"/>
        <w:bidi w:val="0"/>
        <w:spacing w:before="200" w:after="200"/>
        <w:jc w:val="left"/>
        <w:rPr/>
      </w:pPr>
      <w:r>
        <w:rPr/>
      </w:r>
    </w:p>
    <w:p>
      <w:pPr>
        <w:pStyle w:val="TextBody"/>
        <w:bidi w:val="0"/>
        <w:jc w:val="left"/>
        <w:rPr/>
      </w:pPr>
      <w:hyperlink w:anchor="TOC">
        <w:bookmarkStart w:id="17" w:name="ny20075344x1_posam_104-summary_pg5"/>
        <w:bookmarkEnd w:id="1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Transfers of Cash to and from Our Subsidiaries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Waton Financial Limited is a holding company with no operations of its own. It conducts its operations primarily in Hong Kong through its subsidiaries. As a holding company, Waton Financial Limited may rely on dividends or payments to be paid by its subsidiaries in Hong Kong to fund its cash and financing requirements, including for the provision of funds necessary to pay dividends and other cash distributions to our shareholders and U.S. investors, and to service any debt we may incur and to pay our operating expenses. If our subsidiaries incur debt on their own behalf in the future, the instruments governing the debt may restrict its ability to pay dividends or make other distributions to us.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Waton Financial Limited is permitted under the laws of BVI to provide funding to its subsidiaries through loans or capital contributions without restrictions on the amount of the funds, subject to complying with applicable laws (including with respect to economic substance). Our subsidiaries are also permitted under the laws of Hong Kong to provide funding to Waton Financial Limited, through dividend distributions or payments, without restrictions on the amount of the funds.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There are no restrictions or limitations on our ability to distribute earnings by dividends from our subsidiaries, and our shareholders and U.S. investors, provided that the entity remains solvent after such distribution. Subject to the BVI Companies Act and our memorandum and articles of association, our board of directors may authorize and declare a dividend to shareholders at such time and of such an amount as they think fit if they are satisfied, on reasonable grounds, that immediately following the dividend payment, the value of our assets will exceed our liabilities and we will be able to pay our debts as they become due. According to the Companies Ordinance of Hong Kong, a Hong Kong company may only make a distribution out of profits available for distribution. Other than the above, we did not adopt or maintain any cash management policies and procedures as of the date of this prospectus. There is no further BVI or Hong Kong statutory restriction on the amount of funds which may be distributed by us by dividend payments.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Under the current practice of the Inland Revenue Department of Hong Kong, no tax is payable in Hong Kong in respect of dividends paid by us. See “</w:t>
      </w:r>
      <w:r>
        <w:rPr>
          <w:rFonts w:ascii="Times New Roman;Times;serif" w:hAnsi="Times New Roman;Times;serif"/>
          <w:i/>
          <w:color w:val="000000"/>
          <w:sz w:val="20"/>
          <w:bdr w:val="single" w:sz="8" w:space="12" w:color="000000"/>
          <w:shd w:fill="FFFFFF" w:val="clear"/>
        </w:rPr>
        <w:t>Item 4. Information on the Company — B. Business Overview — Regulations — Regulations Related to our Business Operation in Hong Kong — Regulations related to Hong Kong taxation</w:t>
      </w:r>
      <w:r>
        <w:rPr>
          <w:rFonts w:ascii="Times New Roman;Times;serif" w:hAnsi="Times New Roman;Times;serif"/>
          <w:color w:val="000000"/>
          <w:sz w:val="20"/>
          <w:bdr w:val="single" w:sz="8" w:space="12" w:color="000000"/>
          <w:shd w:fill="FFFFFF" w:val="clear"/>
        </w:rPr>
        <w:t xml:space="preserve">” in our 2025 Annual Report.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As of the date of this prospectus, there are no restrictions or limitations under the laws of Hong Kong imposed on the conversion of HK$ into foreign currencies and the remittance of currencies out of Hong Kong or across borders and to U.S. investors. China is a country with foreign exchange controls. Therefore, any foreign currency payment to Chinese enterprises, including funds paid by overseas shareholders to their wholly foreign-owned enterprises, must comply with China's foreign exchange administration regulations. As our PRC subsidiary will function as a cost center for technical support and R&amp;D activities, we believe the PRC subsidiary will not generate profits or have any dividends to expatriate out of China. Currently, the majority of our operations are in Hong Kong through our Hong Kong subsidiaries. Since Hong Kong is a special administrative region of the PRC and the basic policies of the PRC regarding Hong Kong are reflected in the Basic Law of the Hong Kong Special Administrative Region of the People’s Republic of China, or the Basic Law, providing Hong Kong with a high degree of autonomy and executive, legislative and independent judicial powers, including that of final adjudication under the principle of “one country, two systems”, the PRC laws and regulations do not currently have any material impact on transfer of cash from Waton Financial Limited to our Hong Kong subsidiaries or from our Hong Kong subsidiaries to Waton Financial Limited and the investors in the U.S. However, there is no assurance that any of the above will remain the same. If any of the above policies, laws or regulations change in the future, the ability of our subsidiaries to make payments may be restricted and our ability to finance our cash requirements, service debt or make dividend or other distributions to our shareholders may be adversely affected. Such restrictions and limitations, if imposed in the future, may delay or hinder the expansion of our business to outside of Hong Kong and may affect our ability to receive funds from our subsidiaries in Hong Kong. The promulgation of new laws or regulations, or the new interpretation of existing laws and regulations, in each case, that restrict or otherwise unfavorably impact the ability or the way we or our subsidiaries conduct business, could require us to change certain aspects of our business to ensure compliance, which could decrease demand for our services, reduce revenues, increase costs, require us to obtain more licenses, permits, approvals or certificates, or subject us to additional liabilities. To the extent any new or more stringent measures are required to be implemented, our and our subsidiaries’ business, financial condition and results of operations could be adversely affected and such measures could materially decrease the value of our securities, potentially rendering them worthless.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5</w:t>
      </w:r>
    </w:p>
    <w:p>
      <w:pPr>
        <w:pStyle w:val="HorizontalLine"/>
        <w:bidi w:val="0"/>
        <w:spacing w:before="200" w:after="200"/>
        <w:jc w:val="left"/>
        <w:rPr/>
      </w:pPr>
      <w:r>
        <w:rPr/>
      </w:r>
    </w:p>
    <w:p>
      <w:pPr>
        <w:pStyle w:val="TextBody"/>
        <w:bidi w:val="0"/>
        <w:jc w:val="left"/>
        <w:rPr/>
      </w:pPr>
      <w:hyperlink w:anchor="TOC">
        <w:bookmarkStart w:id="18" w:name="ny20075344x1_posam_104-summary_pg6"/>
        <w:bookmarkEnd w:id="1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We have never declared or paid any cash dividends on our Ordinary Shares. We do not have any present plan to pay any cash dividends on our Ordinary Shares in the foreseeable future after this offering. We currently intend to retain most, if not all, of our available funds and any future earnings to support operations and to finance the growth and development of our business.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 As of the date of this prospectus, we do not presently plan to pay any dividends out of our retained earnings. See “</w:t>
      </w:r>
      <w:r>
        <w:rPr>
          <w:rFonts w:ascii="Times New Roman;Times;serif" w:hAnsi="Times New Roman;Times;serif"/>
          <w:i/>
          <w:color w:val="000000"/>
          <w:sz w:val="20"/>
          <w:bdr w:val="single" w:sz="8" w:space="12" w:color="000000"/>
          <w:shd w:fill="FFFFFF" w:val="clear"/>
        </w:rPr>
        <w:t>Item 3. Key Information — D. Risk Factors — Risks Related to Our Ordinary Shares — We rely on dividends and other distributions on equity paid by our subsidiaries to fund any cash and financing requirements we may have, and any limitation on the ability of our subsidiaries to make payments may restrict our ability to finance our cash requirements, service debt or make dividend or other distributions to our shareholders</w:t>
      </w:r>
      <w:r>
        <w:rPr>
          <w:rFonts w:ascii="Times New Roman;Times;serif" w:hAnsi="Times New Roman;Times;serif"/>
          <w:color w:val="000000"/>
          <w:sz w:val="20"/>
          <w:bdr w:val="single" w:sz="8" w:space="12" w:color="000000"/>
          <w:shd w:fill="FFFFFF" w:val="clear"/>
        </w:rPr>
        <w:t xml:space="preserve">” in our 2025 Annual Report. </w:t>
      </w:r>
    </w:p>
    <w:p>
      <w:pPr>
        <w:pStyle w:val="TextBody"/>
        <w:bidi w:val="0"/>
        <w:spacing w:before="350" w:after="240"/>
        <w:ind w:left="240" w:right="0" w:hanging="0"/>
        <w:jc w:val="left"/>
        <w:rPr>
          <w:rFonts w:ascii="Times New Roman;Times;serif" w:hAnsi="Times New Roman;Times;serif"/>
          <w:b/>
          <w:color w:val="000000"/>
          <w:sz w:val="20"/>
          <w:bdr w:val="single" w:sz="8" w:space="12" w:color="000000"/>
          <w:shd w:fill="FFFFFF" w:val="clear"/>
        </w:rPr>
      </w:pPr>
      <w:bookmarkStart w:id="19" w:name="tIBE"/>
      <w:bookmarkEnd w:id="19"/>
      <w:r>
        <w:rPr>
          <w:rFonts w:ascii="Times New Roman;Times;serif" w:hAnsi="Times New Roman;Times;serif"/>
          <w:b/>
          <w:color w:val="000000"/>
          <w:sz w:val="20"/>
          <w:bdr w:val="single" w:sz="8" w:space="12" w:color="000000"/>
          <w:shd w:fill="FFFFFF" w:val="clear"/>
        </w:rPr>
        <w:t xml:space="preserve">Implications of Being an Emerging Growth Company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We had less than $1.235 billion in annual gross revenue during our last fiscal year. As a result, we qualify as an “emerging growth company” as defined in the Jumpstart Our Business Startups Act of 2012 (the “JOBS Act”) and may take advantage of reduced public reporting requirements. These provisions include, but are not limited to: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being permitted to present only two years of audited financial statements and only two years of related Management’s Discussion and Analysis of Financial Condition and Results of Operations;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 being required to comply with the auditor attestation requirements in the assessment of our internal control over financial reporting;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reduced disclosure regarding executive compensation in periodic reports, proxy statements and registration statements;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exemptions from the requirements of holding a nonbinding advisory vote on executive compensation and shareholder approval of any golden parachute payments not previously approved.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We may take advantage of these provisions until the last day of our fiscal year following the fifth anniversary of the date of the first sale of the Ordinary Shares pursuant to this offering. However, if certain events occur before the end of such five-year period, including if we become a “large accelerated filer,” if our annual gross revenues exceed $1.235 billion or if we issue more than $1.0 billion of non-convertible debt in any three-year period, we will cease to be an emerging growth company before the end of such five-year period.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Section 107 of the JOBS Act provides that an emerging growth company can take advantage of the extended transition period provided in Section 7(a)(2)(B) of the Securities Act of 1933, as amended (the “Securities Act”), for complying with new or revised accounting standards. </w:t>
      </w:r>
    </w:p>
    <w:p>
      <w:pPr>
        <w:pStyle w:val="TextBody"/>
        <w:bidi w:val="0"/>
        <w:spacing w:before="35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Implications of Being a Foreign Private Issuer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We report under the Exchange Act, as a non-U.S. company with “foreign private issuer” status. Even after we no longer qualify as an emerging growth company, so long as we qualify as a foreign private issuer under the Exchange Act, we will be exempt from certain provisions of the Exchange Act and the rules thereunder that are applicable to U.S. domestic public companies, including: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rules under the Exchange Act that require U.S. domestic public companies to issue financial statements prepared under U.S. GAAP;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sections of the Exchange Act that regulate the solicitation of proxies, consents or authorizations in respect of any securities registered under the Exchange Act; </w:t>
            </w:r>
          </w:p>
        </w:tc>
      </w:tr>
    </w:tbl>
    <w:tbl>
      <w:tblPr>
        <w:tblW w:w="9850" w:type="dxa"/>
        <w:jc w:val="left"/>
        <w:tblInd w:w="240" w:type="dxa"/>
        <w:tblLayout w:type="fixed"/>
        <w:tblCellMar>
          <w:top w:w="0" w:type="dxa"/>
          <w:left w:w="0" w:type="dxa"/>
          <w:bottom w:w="0" w:type="dxa"/>
          <w:right w:w="0" w:type="dxa"/>
        </w:tblCellMar>
      </w:tblPr>
      <w:tblGrid>
        <w:gridCol w:w="110"/>
        <w:gridCol w:w="9740"/>
      </w:tblGrid>
      <w:tr>
        <w:trPr/>
        <w:tc>
          <w:tcPr>
            <w:tcW w:w="110" w:type="dxa"/>
            <w:tcBorders/>
            <w:vAlign w:val="center"/>
          </w:tcPr>
          <w:p>
            <w:pPr>
              <w:pStyle w:val="TableContents"/>
              <w:bidi w:val="0"/>
              <w:spacing w:before="0" w:after="0"/>
              <w:jc w:val="left"/>
              <w:rPr>
                <w:color w:val="000000"/>
              </w:rPr>
            </w:pPr>
            <w:r>
              <w:rPr>
                <w:color w:val="000000"/>
              </w:rPr>
              <w:t>•</w:t>
            </w:r>
          </w:p>
        </w:tc>
        <w:tc>
          <w:tcPr>
            <w:tcW w:w="97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sections of the Exchange Act that impose liability on insiders who profit from trades made in a short period of time;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rules under the Exchange Act that require the filing with the SEC of quarterly reports on Form 10-Q, containing unaudited financial and other specified information, and current reports on Form 8-K, upon the occurrence of specified significant events.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We are required to file with the SEC, within four months after the end of each fiscal year (or such other reports required by the SEC), an annual report on Form 20-F containing financial statements audited by an independent registered public accounting firm.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6</w:t>
      </w:r>
    </w:p>
    <w:p>
      <w:pPr>
        <w:pStyle w:val="HorizontalLine"/>
        <w:bidi w:val="0"/>
        <w:spacing w:before="200" w:after="200"/>
        <w:jc w:val="left"/>
        <w:rPr/>
      </w:pPr>
      <w:r>
        <w:rPr/>
      </w:r>
    </w:p>
    <w:p>
      <w:pPr>
        <w:pStyle w:val="TextBody"/>
        <w:bidi w:val="0"/>
        <w:jc w:val="left"/>
        <w:rPr/>
      </w:pPr>
      <w:hyperlink w:anchor="TOC">
        <w:bookmarkStart w:id="20" w:name="ny20075344x1_posam_104-summary_pg7"/>
        <w:bookmarkEnd w:id="2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Both foreign private issuers and emerging growth companies are also exempt from certain of the more extensive SEC executive compensation disclosure rules. Therefore, if we no longer qualify as an emerging growth company but remain a foreign private issuer, we will continue to be exempt from such rules and will continue to be permitted to follow our home country practice as to the disclosure of such matters.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In addition, our Company is considered a “foreign private issuer” under Nasdaq listing rules. Nasdaq listing rules include certain accommodations in the corporate governance requirements that allow foreign private issuers, such as our Company, to follow “home country” corporate governance practices in lieu of the otherwise applicable corporate governance standards of Nasdaq. The application of such exceptions requires that we disclose each Nasdaq corporate governance standard that we do not follow and describe the British Virgin Islands corporate governance practices we do follow in lieu of the relevant Nasdaq corporate governance standard. We follow British Virgin Islands corporate governance practices in lieu of the corporate governance requirements of Nasdaq in respect of the following: </w:t>
      </w:r>
    </w:p>
    <w:tbl>
      <w:tblPr>
        <w:tblW w:w="8230" w:type="dxa"/>
        <w:jc w:val="left"/>
        <w:tblInd w:w="240" w:type="dxa"/>
        <w:tblLayout w:type="fixed"/>
        <w:tblCellMar>
          <w:top w:w="0" w:type="dxa"/>
          <w:left w:w="0" w:type="dxa"/>
          <w:bottom w:w="0" w:type="dxa"/>
          <w:right w:w="0" w:type="dxa"/>
        </w:tblCellMar>
      </w:tblPr>
      <w:tblGrid>
        <w:gridCol w:w="110"/>
        <w:gridCol w:w="8120"/>
      </w:tblGrid>
      <w:tr>
        <w:trPr/>
        <w:tc>
          <w:tcPr>
            <w:tcW w:w="110" w:type="dxa"/>
            <w:tcBorders/>
            <w:vAlign w:val="center"/>
          </w:tcPr>
          <w:p>
            <w:pPr>
              <w:pStyle w:val="TableContents"/>
              <w:bidi w:val="0"/>
              <w:spacing w:before="0" w:after="0"/>
              <w:jc w:val="left"/>
              <w:rPr>
                <w:color w:val="000000"/>
              </w:rPr>
            </w:pPr>
            <w:r>
              <w:rPr>
                <w:color w:val="000000"/>
              </w:rPr>
              <w:t>•</w:t>
            </w:r>
          </w:p>
        </w:tc>
        <w:tc>
          <w:tcPr>
            <w:tcW w:w="8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majority independent director requirement under Section 5605(b)(1) of the Nasdaq listing rules;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requirement under Section 5605(b)(2) of the Nasdaq listing rules that the independent directors have regularly scheduled meetings with only the independent directors present;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requirements under Section 5635 of the Nasdaq listing rules that shareholder approval will be required for (i) certain acquisitions of stock or assets of another company; (ii) an issuance of shares that will result in a change of control of the company; (iii) the establishment or amendment of certain equity based compensation plans and arrangements; and (iv) certain transactions (other than a public offering) involving issuances of 20% or more of our outstanding shares.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British Virgin Islands law does not impose a requirement that our board of directors consist of a majority of independent directors or that such independent directors meet regularly without other members present.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The Company intends to avail itself of these exemptions. Therefore, for as long as the Company remains a “foreign private issuer,” the Company will not have the same protections afforded to shareholders of companies that are subject to all of these corporate governance requirements. See “</w:t>
      </w:r>
      <w:r>
        <w:rPr>
          <w:rFonts w:ascii="Times New Roman;Times;serif" w:hAnsi="Times New Roman;Times;serif"/>
          <w:i/>
          <w:color w:val="000000"/>
          <w:sz w:val="20"/>
          <w:bdr w:val="single" w:sz="8" w:space="12" w:color="000000"/>
          <w:shd w:fill="FFFFFF" w:val="clear"/>
        </w:rPr>
        <w:t>Item 16G. Corporate Governance</w:t>
      </w:r>
      <w:r>
        <w:rPr>
          <w:rFonts w:ascii="Times New Roman;Times;serif" w:hAnsi="Times New Roman;Times;serif"/>
          <w:color w:val="000000"/>
          <w:sz w:val="20"/>
          <w:bdr w:val="single" w:sz="8" w:space="12" w:color="000000"/>
          <w:shd w:fill="FFFFFF" w:val="clear"/>
        </w:rPr>
        <w:t xml:space="preserve">” in our 2025 Annual Report. </w:t>
      </w:r>
    </w:p>
    <w:p>
      <w:pPr>
        <w:pStyle w:val="TextBody"/>
        <w:bidi w:val="0"/>
        <w:spacing w:before="40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Controlled Company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Upon completion of this offering, our largest shareholder, WATON CORPORATION LIMITED, will beneficially own approximately 76.46% of the aggregate voting power of our outstanding Ordinary Shares. As a result, we will continue to be deemed to be a “controlled company” for the purpose of the Nasdaq listing rules. Our largest shareholder has the ability to control the outcome of matters submitted to the shareholders for approval, including the election of directors, amendment of organizational documents, and approval of major corporate transactions, such as a change in control, merger, consolidation, or sale of assets. As a controlled company, we are permitted to elect to rely on certain exemptions from the obligations to comply with certain corporate governance requirements, including the requirements that: </w:t>
      </w:r>
    </w:p>
    <w:tbl>
      <w:tblPr>
        <w:tblW w:w="5695" w:type="dxa"/>
        <w:jc w:val="left"/>
        <w:tblInd w:w="240" w:type="dxa"/>
        <w:tblLayout w:type="fixed"/>
        <w:tblCellMar>
          <w:top w:w="0" w:type="dxa"/>
          <w:left w:w="0" w:type="dxa"/>
          <w:bottom w:w="0" w:type="dxa"/>
          <w:right w:w="0" w:type="dxa"/>
        </w:tblCellMar>
      </w:tblPr>
      <w:tblGrid>
        <w:gridCol w:w="110"/>
        <w:gridCol w:w="5585"/>
      </w:tblGrid>
      <w:tr>
        <w:trPr/>
        <w:tc>
          <w:tcPr>
            <w:tcW w:w="110" w:type="dxa"/>
            <w:tcBorders/>
            <w:vAlign w:val="center"/>
          </w:tcPr>
          <w:p>
            <w:pPr>
              <w:pStyle w:val="TableContents"/>
              <w:bidi w:val="0"/>
              <w:spacing w:before="0" w:after="0"/>
              <w:jc w:val="left"/>
              <w:rPr>
                <w:color w:val="000000"/>
              </w:rPr>
            </w:pPr>
            <w:r>
              <w:rPr>
                <w:color w:val="000000"/>
              </w:rPr>
              <w:t>•</w:t>
            </w:r>
          </w:p>
        </w:tc>
        <w:tc>
          <w:tcPr>
            <w:tcW w:w="5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majority of our board of directors consist of independent directors; </w:t>
            </w:r>
          </w:p>
        </w:tc>
      </w:tr>
    </w:tbl>
    <w:tbl>
      <w:tblPr>
        <w:tblW w:w="7300" w:type="dxa"/>
        <w:jc w:val="left"/>
        <w:tblInd w:w="240" w:type="dxa"/>
        <w:tblLayout w:type="fixed"/>
        <w:tblCellMar>
          <w:top w:w="0" w:type="dxa"/>
          <w:left w:w="0" w:type="dxa"/>
          <w:bottom w:w="0" w:type="dxa"/>
          <w:right w:w="0" w:type="dxa"/>
        </w:tblCellMar>
      </w:tblPr>
      <w:tblGrid>
        <w:gridCol w:w="110"/>
        <w:gridCol w:w="7190"/>
      </w:tblGrid>
      <w:tr>
        <w:trPr/>
        <w:tc>
          <w:tcPr>
            <w:tcW w:w="11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director nominees be selected or recommended solely by independent directors;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have a nominating and corporate governance committee and a compensation committee that are composed entirely of independent directors with a written charter addressing the purposes and responsibilities of the committees.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We currently do not intend to rely on the corporate governance exemptions afforded to a “controlled company” under the Nasdaq listing standards. However, we may elect to rely on these exemptions in the future, and if so, you would not have the same protection afforded to shareholders of companies that are subject to all of the corporate governance requirements of Nasdaq. See “</w:t>
      </w:r>
      <w:r>
        <w:rPr>
          <w:rFonts w:ascii="Times New Roman;Times;serif" w:hAnsi="Times New Roman;Times;serif"/>
          <w:i/>
          <w:color w:val="000000"/>
          <w:sz w:val="20"/>
          <w:bdr w:val="single" w:sz="8" w:space="12" w:color="000000"/>
          <w:shd w:fill="FFFFFF" w:val="clear"/>
        </w:rPr>
        <w:t>Management</w:t>
      </w:r>
      <w:r>
        <w:rPr>
          <w:rFonts w:ascii="Times New Roman;Times;serif" w:hAnsi="Times New Roman;Times;serif"/>
          <w:color w:val="000000"/>
          <w:sz w:val="20"/>
          <w:bdr w:val="single" w:sz="8" w:space="12" w:color="000000"/>
          <w:shd w:fill="FFFFFF" w:val="clear"/>
        </w:rPr>
        <w:t xml:space="preserve">.”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7</w:t>
      </w:r>
    </w:p>
    <w:p>
      <w:pPr>
        <w:pStyle w:val="HorizontalLine"/>
        <w:bidi w:val="0"/>
        <w:spacing w:before="200" w:after="200"/>
        <w:jc w:val="left"/>
        <w:rPr/>
      </w:pPr>
      <w:r>
        <w:rPr/>
      </w:r>
    </w:p>
    <w:p>
      <w:pPr>
        <w:pStyle w:val="TextBody"/>
        <w:bidi w:val="0"/>
        <w:jc w:val="left"/>
        <w:rPr/>
      </w:pPr>
      <w:hyperlink w:anchor="TOC">
        <w:bookmarkStart w:id="21" w:name="ny20075344x1_posam_104-summary_pg8"/>
        <w:bookmarkEnd w:id="2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Corporate Information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Our principal executive offices are located at Suites 3605-06, 36th Floor, Tower 6, The Gateway, Harbour City, Tsim Sha Tsui, Kowloon, Hong Kong. The telephone number at our principal executive office is 852 28531818. Our registered office is currently located at Rodus Building, P.O. Box 3093, Road Town, Tortola, British Virgin Islands.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Our agent for service of process in the United States is Cogency Global Inc. located at 122 East 42nd Street, 18th Floor, New York, NY 10168.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Our website addresses are http://www.waton.com/, https://wtf.us and https://wtf.ai. The information contained on our website is not a part of this prospectus, nor is such content incorporated by reference herein, and should not be relied upon in determining whether to make an investment in our securities.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8</w:t>
      </w:r>
    </w:p>
    <w:p>
      <w:pPr>
        <w:pStyle w:val="HorizontalLine"/>
        <w:bidi w:val="0"/>
        <w:spacing w:before="200" w:after="200"/>
        <w:jc w:val="left"/>
        <w:rPr/>
      </w:pPr>
      <w:r>
        <w:rPr/>
      </w:r>
    </w:p>
    <w:p>
      <w:pPr>
        <w:pStyle w:val="TextBody"/>
        <w:bidi w:val="0"/>
        <w:jc w:val="left"/>
        <w:rPr/>
      </w:pPr>
      <w:hyperlink w:anchor="TOC">
        <w:bookmarkStart w:id="22" w:name="ny20075344x1_posam_104-summary_pg9"/>
        <w:bookmarkEnd w:id="2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shd w:fill="FFFFFF" w:val="clear"/>
        </w:rPr>
      </w:pPr>
      <w:bookmarkStart w:id="23" w:name="tTO"/>
      <w:bookmarkEnd w:id="23"/>
      <w:r>
        <w:rPr>
          <w:rFonts w:ascii="Times New Roman;Times;serif" w:hAnsi="Times New Roman;Times;serif"/>
          <w:b/>
          <w:color w:val="000000"/>
          <w:sz w:val="20"/>
          <w:bdr w:val="single" w:sz="8" w:space="12" w:color="000000"/>
          <w:shd w:fill="FFFFFF" w:val="clear"/>
        </w:rPr>
        <w:t xml:space="preserve">THE OFFERING </w:t>
      </w:r>
    </w:p>
    <w:p>
      <w:pPr>
        <w:pStyle w:val="TextBody"/>
        <w:bidi w:val="0"/>
        <w:spacing w:before="14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Securities offered by us </w:t>
      </w:r>
    </w:p>
    <w:p>
      <w:pPr>
        <w:pStyle w:val="TextBody"/>
        <w:bidi w:val="0"/>
        <w:spacing w:before="0" w:after="240"/>
        <w:ind w:left="50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Up to 5,359,719 Ordinary Shares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Assumed public offering price </w:t>
      </w:r>
    </w:p>
    <w:p>
      <w:pPr>
        <w:pStyle w:val="TextBody"/>
        <w:bidi w:val="0"/>
        <w:spacing w:before="0" w:after="240"/>
        <w:ind w:left="50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$2.94 per share </w:t>
      </w:r>
    </w:p>
    <w:p>
      <w:pPr>
        <w:pStyle w:val="TextBody"/>
        <w:bidi w:val="0"/>
        <w:spacing w:before="16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Best-efforts offering</w:t>
      </w:r>
    </w:p>
    <w:p>
      <w:pPr>
        <w:pStyle w:val="TextBody"/>
        <w:bidi w:val="0"/>
        <w:spacing w:before="0" w:after="240"/>
        <w:ind w:left="50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We are offering the securities on a best-efforts basis. We have engaged Cathay as our exclusive placement agent to use its reasonable best efforts to solicit offers to purchase the securities in this offering. The Placement Agent has no obligation to buy any of the securities from us or to arrange for the purchase or sale of any specific number or dollar amount of the securities. </w:t>
      </w:r>
    </w:p>
    <w:p>
      <w:pPr>
        <w:pStyle w:val="TextBody"/>
        <w:bidi w:val="0"/>
        <w:spacing w:before="120" w:after="240"/>
        <w:ind w:left="50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No minimum offering amount is required as a condition to closing this offering. </w:t>
      </w:r>
    </w:p>
    <w:p>
      <w:pPr>
        <w:pStyle w:val="TextBody"/>
        <w:bidi w:val="0"/>
        <w:spacing w:before="120" w:after="240"/>
        <w:ind w:left="440" w:right="0" w:hanging="20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Ordinary Shares Outstanding Immediately Before This Offering</w:t>
      </w:r>
    </w:p>
    <w:p>
      <w:pPr>
        <w:pStyle w:val="TextBody"/>
        <w:bidi w:val="0"/>
        <w:spacing w:before="0" w:after="240"/>
        <w:ind w:left="50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48,237,472 Ordinary Shares</w:t>
      </w:r>
    </w:p>
    <w:p>
      <w:pPr>
        <w:pStyle w:val="TextBody"/>
        <w:bidi w:val="0"/>
        <w:spacing w:before="120" w:after="240"/>
        <w:ind w:left="440" w:right="0" w:hanging="20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Ordinary Shares Outstanding Immediately After This Offering</w:t>
      </w:r>
      <w:r>
        <w:rPr>
          <w:rFonts w:ascii="Times New Roman;Times;serif" w:hAnsi="Times New Roman;Times;serif"/>
          <w:b/>
          <w:color w:val="000000"/>
          <w:position w:val="7"/>
          <w:sz w:val="16"/>
          <w:sz w:val="20"/>
          <w:bdr w:val="single" w:sz="8" w:space="12" w:color="000000"/>
          <w:shd w:fill="FFFFFF" w:val="clear"/>
        </w:rPr>
        <w:t>(1)</w:t>
      </w:r>
    </w:p>
    <w:p>
      <w:pPr>
        <w:pStyle w:val="TextBody"/>
        <w:bidi w:val="0"/>
        <w:spacing w:before="0" w:after="240"/>
        <w:ind w:left="50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53,597,191 Ordinary Shares assuming the sales of all the Ordinary Shares we are offering </w:t>
      </w:r>
    </w:p>
    <w:p>
      <w:pPr>
        <w:pStyle w:val="TextBody"/>
        <w:bidi w:val="0"/>
        <w:spacing w:before="16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Lock-up</w:t>
      </w:r>
    </w:p>
    <w:p>
      <w:pPr>
        <w:pStyle w:val="TextBody"/>
        <w:bidi w:val="0"/>
        <w:spacing w:before="0" w:after="240"/>
        <w:ind w:left="50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Each of our directors, executive officers, and 10% or more shareholders will enter into a lock-up agreement for a period of 180 days from the closing of this offering, to agree not to: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or (ii) file or cause to be filed any registration statement with the Commission relating to the offering of any shares of capital stock of the Company or any securities convertible into or exercisable or exchangeable for shares of capital stock of the Company, subject to certain exceptions.</w:t>
      </w:r>
    </w:p>
    <w:p>
      <w:pPr>
        <w:pStyle w:val="TextBody"/>
        <w:bidi w:val="0"/>
        <w:spacing w:before="16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Use of Proceeds</w:t>
      </w:r>
    </w:p>
    <w:p>
      <w:pPr>
        <w:pStyle w:val="TextBody"/>
        <w:bidi w:val="0"/>
        <w:spacing w:before="0" w:after="240"/>
        <w:ind w:left="50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We estimate that we will receive net proceeds of approximately $14.25 million from this offering, assuming the sales of all of the securities we are offering at an assumed price of $2.94 per share, after deducting the estimated Placement Agent’s commissions, the accountable expense reimbursement, and estimated offering expenses payable by us.</w:t>
      </w:r>
    </w:p>
    <w:p>
      <w:pPr>
        <w:pStyle w:val="TextBody"/>
        <w:bidi w:val="0"/>
        <w:spacing w:before="120" w:after="240"/>
        <w:ind w:left="50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We intend to use approximately 30% of the net proceeds from this offering for research and development, approximately 30% for expansion of the existing securities brokerage and asset management businesses, approximately 20% for sales and promotion activities, and approximately 20% for working capital and other general corporate purposes. See “Use of Proceeds.”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Risk Factors</w:t>
      </w:r>
    </w:p>
    <w:p>
      <w:pPr>
        <w:pStyle w:val="TextBody"/>
        <w:bidi w:val="0"/>
        <w:spacing w:before="0" w:after="240"/>
        <w:ind w:left="5040" w:right="0" w:hanging="0"/>
        <w:jc w:val="both"/>
        <w:rPr/>
      </w:pPr>
      <w:r>
        <w:rPr>
          <w:rFonts w:ascii="Times New Roman;Times;serif" w:hAnsi="Times New Roman;Times;serif"/>
          <w:color w:val="000000"/>
          <w:sz w:val="20"/>
          <w:bdr w:val="single" w:sz="8" w:space="12" w:color="000000"/>
          <w:shd w:fill="FFFFFF" w:val="clear"/>
        </w:rPr>
        <w:t xml:space="preserve">Investing in our securities involves a high degree of risk. See “Risk Factors” beginning on page </w:t>
      </w:r>
      <w:hyperlink w:anchor="tRF">
        <w:r>
          <w:rPr>
            <w:rStyle w:val="InternetLink"/>
          </w:rPr>
          <w:t>12</w:t>
        </w:r>
      </w:hyperlink>
      <w:r>
        <w:rPr>
          <w:rFonts w:ascii="Times New Roman;Times;serif" w:hAnsi="Times New Roman;Times;serif"/>
          <w:color w:val="000000"/>
          <w:sz w:val="20"/>
          <w:bdr w:val="single" w:sz="8" w:space="12" w:color="000000"/>
          <w:shd w:fill="FFFFFF" w:val="clear"/>
        </w:rPr>
        <w:t xml:space="preserve">, and in the other documents incorporated by reference into this prospectus. </w:t>
      </w:r>
    </w:p>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9</w:t>
      </w:r>
    </w:p>
    <w:p>
      <w:pPr>
        <w:pStyle w:val="HorizontalLine"/>
        <w:bidi w:val="0"/>
        <w:spacing w:before="200" w:after="200"/>
        <w:jc w:val="left"/>
        <w:rPr/>
      </w:pPr>
      <w:r>
        <w:rPr/>
      </w:r>
    </w:p>
    <w:p>
      <w:pPr>
        <w:pStyle w:val="TextBody"/>
        <w:bidi w:val="0"/>
        <w:jc w:val="left"/>
        <w:rPr/>
      </w:pPr>
      <w:hyperlink w:anchor="TOC">
        <w:bookmarkStart w:id="24" w:name="ny20075344x1_posam_104-summary_pg10"/>
        <w:bookmarkEnd w:id="2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Listing</w:t>
      </w:r>
    </w:p>
    <w:p>
      <w:pPr>
        <w:pStyle w:val="TextBody"/>
        <w:bidi w:val="0"/>
        <w:spacing w:before="0" w:after="240"/>
        <w:ind w:left="50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Our Ordinary Shares are listed on the Nasdaq Capital Market under the symbol “WTF.” </w:t>
      </w:r>
    </w:p>
    <w:p>
      <w:pPr>
        <w:pStyle w:val="TextBody"/>
        <w:bidi w:val="0"/>
        <w:spacing w:before="16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Transfer Agent</w:t>
      </w:r>
    </w:p>
    <w:p>
      <w:pPr>
        <w:pStyle w:val="TextBody"/>
        <w:bidi w:val="0"/>
        <w:spacing w:before="0" w:after="240"/>
        <w:ind w:left="5040" w:right="0" w:hanging="0"/>
        <w:jc w:val="left"/>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 xml:space="preserve">Transhare Corporation </w:t>
      </w:r>
    </w:p>
    <w:p>
      <w:pPr>
        <w:pStyle w:val="TextBody"/>
        <w:bidi w:val="0"/>
        <w:spacing w:before="160" w:after="240"/>
        <w:ind w:left="240" w:right="0" w:hanging="0"/>
        <w:jc w:val="left"/>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Payment and Settlement</w:t>
      </w:r>
    </w:p>
    <w:p>
      <w:pPr>
        <w:pStyle w:val="TextBody"/>
        <w:bidi w:val="0"/>
        <w:spacing w:before="0" w:after="240"/>
        <w:ind w:left="50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We expect that the delivery of the Ordinary Shares for the initial closing against payment therefor will occur on or about [•], 2026.</w:t>
      </w:r>
    </w:p>
    <w:tbl>
      <w:tblPr>
        <w:tblW w:w="9965" w:type="dxa"/>
        <w:jc w:val="left"/>
        <w:tblInd w:w="240" w:type="dxa"/>
        <w:tblLayout w:type="fixed"/>
        <w:tblCellMar>
          <w:top w:w="0" w:type="dxa"/>
          <w:left w:w="0" w:type="dxa"/>
          <w:bottom w:w="0" w:type="dxa"/>
          <w:right w:w="0" w:type="dxa"/>
        </w:tblCellMar>
      </w:tblPr>
      <w:tblGrid>
        <w:gridCol w:w="191"/>
        <w:gridCol w:w="977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77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total number of Ordinary Shares that will be outstanding immediately after this offering (assuming the sale of all the Ordinary Shares being offered in this offering) is based upon 48,237,472 Ordinary Shares issued and outstanding, excluding the number of Ordinary Shares issuable upon vesting of our outstanding restricted share units as of the date of this prospectus. </w:t>
            </w:r>
          </w:p>
        </w:tc>
      </w:tr>
    </w:tbl>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10</w:t>
      </w:r>
    </w:p>
    <w:p>
      <w:pPr>
        <w:pStyle w:val="HorizontalLine"/>
        <w:bidi w:val="0"/>
        <w:spacing w:before="200" w:after="200"/>
        <w:jc w:val="left"/>
        <w:rPr/>
      </w:pPr>
      <w:r>
        <w:rPr/>
      </w:r>
    </w:p>
    <w:p>
      <w:pPr>
        <w:pStyle w:val="TextBody"/>
        <w:bidi w:val="0"/>
        <w:jc w:val="left"/>
        <w:rPr/>
      </w:pPr>
      <w:hyperlink w:anchor="TOC">
        <w:bookmarkStart w:id="25" w:name="ny20075344x1_posam_104-summary_pg11"/>
        <w:bookmarkEnd w:id="2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shd w:fill="FFFFFF" w:val="clear"/>
        </w:rPr>
      </w:pPr>
      <w:r>
        <w:rPr>
          <w:rFonts w:ascii="Times New Roman;Times;serif" w:hAnsi="Times New Roman;Times;serif"/>
          <w:b/>
          <w:color w:val="000000"/>
          <w:sz w:val="20"/>
          <w:bdr w:val="single" w:sz="8" w:space="12" w:color="000000"/>
          <w:shd w:fill="FFFFFF" w:val="clear"/>
        </w:rPr>
        <w:t xml:space="preserve">SUMMARY CONSOLIDATED FINANCIAL AND OTHER DATA </w:t>
      </w:r>
    </w:p>
    <w:p>
      <w:pPr>
        <w:pStyle w:val="TextBody"/>
        <w:bidi w:val="0"/>
        <w:spacing w:before="120" w:after="240"/>
        <w:ind w:left="240" w:right="0" w:hanging="0"/>
        <w:jc w:val="both"/>
        <w:rPr>
          <w:rFonts w:ascii="Times New Roman;Times;serif" w:hAnsi="Times New Roman;Times;serif"/>
          <w:color w:val="000000"/>
          <w:sz w:val="20"/>
          <w:bdr w:val="single" w:sz="8" w:space="12" w:color="000000"/>
          <w:shd w:fill="FFFFFF" w:val="clear"/>
        </w:rPr>
      </w:pPr>
      <w:r>
        <w:rPr>
          <w:rFonts w:ascii="Times New Roman;Times;serif" w:hAnsi="Times New Roman;Times;serif"/>
          <w:color w:val="000000"/>
          <w:sz w:val="20"/>
          <w:bdr w:val="single" w:sz="8" w:space="12" w:color="000000"/>
          <w:shd w:fill="FFFFFF" w:val="clear"/>
        </w:rPr>
        <w:t>The following table summarizes our consolidated financial data for the periods indicated. We have derived the following summary of our consolidated balance sheets data as of March 31, 2025, 2024 and 2023, and our consolidated statements of operations data for the fiscal years ended March 31, 2025, 2024 and 2023, from our audited consolidated financial statements incorporated by reference in this prospectus, and our unaudited condensed consolidated balance sheet as of September 30, 2025 and unaudited consolidated statements of operations data for the six months ended September 30, 2025 and 2024. Our historical financial data presented below is not necessarily indicative of our financial results in future periods. You should read the summary consolidated financial and other data in conjunction with the section titled “</w:t>
      </w:r>
      <w:r>
        <w:rPr>
          <w:rFonts w:ascii="Times New Roman;Times;serif" w:hAnsi="Times New Roman;Times;serif"/>
          <w:i/>
          <w:color w:val="000000"/>
          <w:sz w:val="20"/>
          <w:bdr w:val="single" w:sz="8" w:space="12" w:color="000000"/>
          <w:shd w:fill="FFFFFF" w:val="clear"/>
        </w:rPr>
        <w:t>Management’s Discussion and Analysis of Financial Condition and Results of Operations</w:t>
      </w:r>
      <w:r>
        <w:rPr>
          <w:rFonts w:ascii="Times New Roman;Times;serif" w:hAnsi="Times New Roman;Times;serif"/>
          <w:color w:val="000000"/>
          <w:sz w:val="20"/>
          <w:bdr w:val="single" w:sz="8" w:space="12" w:color="000000"/>
          <w:shd w:fill="FFFFFF" w:val="clear"/>
        </w:rPr>
        <w:t xml:space="preserve">” and our consolidated financial statements and related notes incorporated by reference in this prospectus. Our consolidated financial statements are prepared and presented in accordance with accounting principles generally accepted in the United States, or U.S. GAAP. </w:t>
      </w:r>
    </w:p>
    <w:tbl>
      <w:tblPr>
        <w:tblW w:w="9665" w:type="dxa"/>
        <w:jc w:val="left"/>
        <w:tblInd w:w="240" w:type="dxa"/>
        <w:tblLayout w:type="fixed"/>
        <w:tblCellMar>
          <w:top w:w="0" w:type="dxa"/>
          <w:left w:w="0" w:type="dxa"/>
          <w:bottom w:w="0" w:type="dxa"/>
          <w:right w:w="0" w:type="dxa"/>
        </w:tblCellMar>
      </w:tblPr>
      <w:tblGrid>
        <w:gridCol w:w="3845"/>
        <w:gridCol w:w="140"/>
        <w:gridCol w:w="140"/>
        <w:gridCol w:w="1475"/>
        <w:gridCol w:w="140"/>
        <w:gridCol w:w="140"/>
        <w:gridCol w:w="1055"/>
        <w:gridCol w:w="140"/>
        <w:gridCol w:w="140"/>
        <w:gridCol w:w="1055"/>
        <w:gridCol w:w="140"/>
        <w:gridCol w:w="140"/>
        <w:gridCol w:w="1115"/>
      </w:tblGrid>
      <w:tr>
        <w:trPr/>
        <w:tc>
          <w:tcPr>
            <w:tcW w:w="3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5" w:type="dxa"/>
            <w:gridSpan w:val="7"/>
            <w:tcBorders/>
            <w:vAlign w:val="center"/>
          </w:tcPr>
          <w:p>
            <w:pPr>
              <w:pStyle w:val="TableContents"/>
              <w:bidi w:val="0"/>
              <w:spacing w:before="0" w:after="0"/>
              <w:jc w:val="left"/>
              <w:rPr/>
            </w:pPr>
            <w:r>
              <w:rPr/>
              <w:t> </w:t>
            </w:r>
          </w:p>
        </w:tc>
      </w:tr>
      <w:tr>
        <w:trPr/>
        <w:tc>
          <w:tcPr>
            <w:tcW w:w="38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September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8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March 31, </w:t>
            </w:r>
          </w:p>
        </w:tc>
      </w:tr>
      <w:tr>
        <w:trPr/>
        <w:tc>
          <w:tcPr>
            <w:tcW w:w="38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38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Summary Consolidated Balance Sheets Data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US$ </w:t>
            </w:r>
          </w:p>
        </w:tc>
      </w:tr>
      <w:tr>
        <w:trPr/>
        <w:tc>
          <w:tcPr>
            <w:tcW w:w="3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03" w:right="0" w:hanging="0"/>
              <w:jc w:val="left"/>
              <w:rPr>
                <w:rFonts w:ascii="Times New Roman;Times;serif" w:hAnsi="Times New Roman;Times;serif"/>
                <w:b/>
                <w:color w:val="000000"/>
                <w:sz w:val="20"/>
              </w:rPr>
            </w:pPr>
            <w:r>
              <w:rPr>
                <w:rFonts w:ascii="Times New Roman;Times;serif" w:hAnsi="Times New Roman;Times;serif"/>
                <w:b/>
                <w:color w:val="000000"/>
                <w:sz w:val="20"/>
              </w:rPr>
              <w:t>$68,976,087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$30,723,975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$32,684,427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$40,771,313 </w:t>
            </w:r>
          </w:p>
        </w:tc>
      </w:tr>
      <w:tr>
        <w:trPr/>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14,347,536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7,717,087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4,948,090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19,092,552 </w:t>
            </w:r>
          </w:p>
        </w:tc>
      </w:tr>
      <w:tr>
        <w:trPr/>
        <w:tc>
          <w:tcPr>
            <w:tcW w:w="3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segregated under regulatory requirements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15,535,468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6,183,232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5,704,096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9,766,690 </w:t>
            </w:r>
          </w:p>
        </w:tc>
      </w:tr>
      <w:tr>
        <w:trPr/>
        <w:tc>
          <w:tcPr>
            <w:tcW w:w="3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and contract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31,893,028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10,095,071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14,612,023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10,775,442 </w:t>
            </w:r>
          </w:p>
        </w:tc>
      </w:tr>
      <w:tr>
        <w:trPr/>
        <w:tc>
          <w:tcPr>
            <w:tcW w:w="3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cost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2,878,575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2,878,575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3,472,016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8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03" w:right="0" w:hanging="0"/>
              <w:jc w:val="left"/>
              <w:rPr>
                <w:rFonts w:ascii="Times New Roman;Times;serif" w:hAnsi="Times New Roman;Times;serif"/>
                <w:b/>
                <w:color w:val="000000"/>
                <w:sz w:val="20"/>
              </w:rPr>
            </w:pPr>
            <w:r>
              <w:rPr>
                <w:rFonts w:ascii="Times New Roman;Times;serif" w:hAnsi="Times New Roman;Times;serif"/>
                <w:b/>
                <w:color w:val="000000"/>
                <w:sz w:val="20"/>
              </w:rPr>
              <w:t>41,284,953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17,956,232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21,942,374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26,611,364 </w:t>
            </w:r>
          </w:p>
        </w:tc>
      </w:tr>
      <w:tr>
        <w:trPr/>
        <w:tc>
          <w:tcPr>
            <w:tcW w:w="3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Payables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203" w:right="0" w:hanging="0"/>
              <w:jc w:val="left"/>
              <w:rPr>
                <w:rFonts w:ascii="Times New Roman;Times;serif" w:hAnsi="Times New Roman;Times;serif"/>
                <w:color w:val="000000"/>
                <w:sz w:val="20"/>
              </w:rPr>
            </w:pPr>
            <w:r>
              <w:rPr>
                <w:rFonts w:ascii="Times New Roman;Times;serif" w:hAnsi="Times New Roman;Times;serif"/>
                <w:color w:val="000000"/>
                <w:sz w:val="20"/>
              </w:rPr>
              <w:t>36,151,109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14,915,859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17,603,315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20,159,101 </w:t>
            </w:r>
          </w:p>
        </w:tc>
      </w:tr>
      <w:tr>
        <w:trPr/>
        <w:tc>
          <w:tcPr>
            <w:tcW w:w="38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203" w:right="0" w:hanging="0"/>
              <w:jc w:val="left"/>
              <w:rPr>
                <w:rFonts w:ascii="Times New Roman;Times;serif" w:hAnsi="Times New Roman;Times;serif"/>
                <w:b/>
                <w:color w:val="000000"/>
                <w:sz w:val="20"/>
              </w:rPr>
            </w:pPr>
            <w:r>
              <w:rPr>
                <w:rFonts w:ascii="Times New Roman;Times;serif" w:hAnsi="Times New Roman;Times;serif"/>
                <w:b/>
                <w:color w:val="000000"/>
                <w:sz w:val="20"/>
              </w:rPr>
              <w:t>$27,691,134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$12,767,743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$10,742,053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$14,159,949</w:t>
            </w:r>
          </w:p>
        </w:tc>
      </w:tr>
      <w:tr>
        <w:trPr/>
        <w:tc>
          <w:tcPr>
            <w:tcW w:w="3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bl>
    <w:tbl>
      <w:tblPr>
        <w:tblW w:w="9965" w:type="dxa"/>
        <w:jc w:val="left"/>
        <w:tblInd w:w="240" w:type="dxa"/>
        <w:tblLayout w:type="fixed"/>
        <w:tblCellMar>
          <w:top w:w="0" w:type="dxa"/>
          <w:left w:w="0" w:type="dxa"/>
          <w:bottom w:w="0" w:type="dxa"/>
          <w:right w:w="0" w:type="dxa"/>
        </w:tblCellMar>
      </w:tblPr>
      <w:tblGrid>
        <w:gridCol w:w="3497"/>
        <w:gridCol w:w="140"/>
        <w:gridCol w:w="140"/>
        <w:gridCol w:w="987"/>
        <w:gridCol w:w="140"/>
        <w:gridCol w:w="140"/>
        <w:gridCol w:w="999"/>
        <w:gridCol w:w="140"/>
        <w:gridCol w:w="140"/>
        <w:gridCol w:w="1059"/>
        <w:gridCol w:w="140"/>
        <w:gridCol w:w="140"/>
        <w:gridCol w:w="1055"/>
        <w:gridCol w:w="140"/>
        <w:gridCol w:w="140"/>
        <w:gridCol w:w="968"/>
      </w:tblGrid>
      <w:tr>
        <w:trPr/>
        <w:tc>
          <w:tcPr>
            <w:tcW w:w="34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6"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42" w:type="dxa"/>
            <w:gridSpan w:val="7"/>
            <w:tcBorders/>
            <w:vAlign w:val="center"/>
          </w:tcPr>
          <w:p>
            <w:pPr>
              <w:pStyle w:val="TableContents"/>
              <w:bidi w:val="0"/>
              <w:spacing w:before="0" w:after="0"/>
              <w:jc w:val="left"/>
              <w:rPr/>
            </w:pPr>
            <w:r>
              <w:rPr/>
              <w:t> </w:t>
            </w:r>
          </w:p>
        </w:tc>
      </w:tr>
      <w:tr>
        <w:trPr/>
        <w:tc>
          <w:tcPr>
            <w:tcW w:w="349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66"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42"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fiscal years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March 31,</w:t>
            </w:r>
          </w:p>
        </w:tc>
      </w:tr>
      <w:tr>
        <w:trPr/>
        <w:tc>
          <w:tcPr>
            <w:tcW w:w="3497"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Summary Consolidated Statement of Operations Data</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r>
      <w:tr>
        <w:trPr/>
        <w:tc>
          <w:tcPr>
            <w:tcW w:w="3497"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9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US$ </w:t>
            </w:r>
          </w:p>
        </w:tc>
      </w:tr>
      <w:tr>
        <w:trPr/>
        <w:tc>
          <w:tcPr>
            <w:tcW w:w="349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6,102,900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2,958,263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9"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7,447,944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$10,055,809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5,738,774</w:t>
            </w:r>
          </w:p>
        </w:tc>
      </w:tr>
      <w:tr>
        <w:trPr/>
        <w:tc>
          <w:tcPr>
            <w:tcW w:w="349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 /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(8,366,642)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(1,148,255)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(11,967,505)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2,496,554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3,080,705</w:t>
            </w:r>
          </w:p>
        </w:tc>
      </w:tr>
      <w:tr>
        <w:trPr/>
        <w:tc>
          <w:tcPr>
            <w:tcW w:w="349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 / income per ordinary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0"/>
              <w:jc w:val="center"/>
              <w:rPr>
                <w:color w:val="000000"/>
              </w:rPr>
            </w:pPr>
            <w:r>
              <w:rPr>
                <w:color w:val="000000"/>
              </w:rPr>
              <w:t> </w:t>
            </w:r>
          </w:p>
        </w:tc>
      </w:tr>
      <w:tr>
        <w:trPr/>
        <w:tc>
          <w:tcPr>
            <w:tcW w:w="34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(0.03)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0.09</w:t>
            </w:r>
          </w:p>
        </w:tc>
      </w:tr>
      <w:tr>
        <w:trPr/>
        <w:tc>
          <w:tcPr>
            <w:tcW w:w="3497"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Weighted average ordinary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8" w:type="dxa"/>
            <w:tcBorders/>
            <w:shd w:fill="CCEEFF" w:val="clear"/>
            <w:vAlign w:val="center"/>
          </w:tcPr>
          <w:p>
            <w:pPr>
              <w:pStyle w:val="TableContents"/>
              <w:bidi w:val="0"/>
              <w:spacing w:before="0" w:after="0"/>
              <w:jc w:val="center"/>
              <w:rPr>
                <w:color w:val="000000"/>
              </w:rPr>
            </w:pPr>
            <w:r>
              <w:rPr>
                <w:color w:val="000000"/>
              </w:rPr>
              <w:t> </w:t>
            </w:r>
          </w:p>
        </w:tc>
      </w:tr>
      <w:tr>
        <w:trPr/>
        <w:tc>
          <w:tcPr>
            <w:tcW w:w="34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48,209,979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41,793,690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62,816,064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34,733,424</w:t>
            </w:r>
          </w:p>
        </w:tc>
      </w:tr>
      <w:tr>
        <w:trPr/>
        <w:tc>
          <w:tcPr>
            <w:tcW w:w="349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8" w:type="dxa"/>
            <w:tcBorders/>
            <w:vAlign w:val="center"/>
          </w:tcPr>
          <w:p>
            <w:pPr>
              <w:pStyle w:val="TableContents"/>
              <w:bidi w:val="0"/>
              <w:spacing w:before="0" w:after="0"/>
              <w:jc w:val="left"/>
              <w:rPr/>
            </w:pPr>
            <w:r>
              <w:rPr/>
              <w:t> </w:t>
            </w:r>
          </w:p>
        </w:tc>
      </w:tr>
    </w:tbl>
    <w:p>
      <w:pPr>
        <w:pStyle w:val="TextBody"/>
        <w:bidi w:val="0"/>
        <w:spacing w:before="189" w:after="283"/>
        <w:ind w:left="24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11</w:t>
      </w:r>
    </w:p>
    <w:p>
      <w:pPr>
        <w:pStyle w:val="HorizontalLine"/>
        <w:bidi w:val="0"/>
        <w:spacing w:before="200" w:after="200"/>
        <w:jc w:val="left"/>
        <w:rPr/>
      </w:pPr>
      <w:r>
        <w:rPr/>
      </w:r>
    </w:p>
    <w:p>
      <w:pPr>
        <w:pStyle w:val="TextBody"/>
        <w:bidi w:val="0"/>
        <w:jc w:val="left"/>
        <w:rPr/>
      </w:pPr>
      <w:hyperlink w:anchor="TOC">
        <w:bookmarkStart w:id="26" w:name="ny20075344x1_posam_105-risk_pg1"/>
        <w:bookmarkEnd w:id="2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27" w:name="tRF"/>
      <w:bookmarkEnd w:id="27"/>
      <w:r>
        <w:rPr>
          <w:rFonts w:ascii="Times New Roman;Times;serif" w:hAnsi="Times New Roman;Times;serif"/>
          <w:b/>
          <w:color w:val="000000"/>
          <w:sz w:val="20"/>
          <w:shd w:fill="FFFFFF" w:val="clear"/>
        </w:rPr>
        <w:t xml:space="preserve">RISK FACTORS </w:t>
      </w:r>
    </w:p>
    <w:p>
      <w:pPr>
        <w:pStyle w:val="TextBody"/>
        <w:bidi w:val="0"/>
        <w:spacing w:before="120" w:after="283"/>
        <w:ind w:left="0" w:right="0" w:hanging="0"/>
        <w:jc w:val="both"/>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An investment in our securities involves a high degree of risk. Before deciding whether to invest in our securities, you should carefully consider the risk factors set forth in our 2025 Annual Report on file with the SEC, which is incorporated by reference into this prospectus, as well as the following risk factors, which augment the risk factors set forth in our 2025 Annual Report. Before making an investment decision, you should carefully consider these risks as well as other information we include or incorporate by reference in this prospectus. The risks and uncertainties not presently known to us or that we currently deem immaterial may also materially harm our operating results and financial condition and could result in a complete loss of your investment.</w:t>
      </w:r>
      <w:r>
        <w:rPr>
          <w:rFonts w:ascii="Times New Roman;Times;serif" w:hAnsi="Times New Roman;Times;serif"/>
          <w:i/>
          <w:caps w:val="false"/>
          <w:smallCaps w:val="false"/>
          <w:color w:val="000000"/>
          <w:sz w:val="20"/>
          <w:shd w:fill="FFFFFF" w:val="clear"/>
        </w:rPr>
        <w:t xml:space="preserve"> </w:t>
      </w:r>
    </w:p>
    <w:p>
      <w:pPr>
        <w:pStyle w:val="TextBody"/>
        <w:bidi w:val="0"/>
        <w:spacing w:before="28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Risks Related to Doing Business in the Jurisdiction in which our Subsidiaries Operate </w:t>
      </w:r>
    </w:p>
    <w:p>
      <w:pPr>
        <w:pStyle w:val="TextBody"/>
        <w:bidi w:val="0"/>
        <w:spacing w:before="120" w:after="283"/>
        <w:ind w:left="0" w:right="0" w:hanging="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We have recently established a subsidiary in Mainland China, which subjects us to additional legal, regulatory, operational and geopolitical risks.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this date of this prospectus, we are headquartered in Hong Kong and operate primarily through our Hong Kong subsidiaries. However, we have incorporated WTF Technology, a wholly owned subsidiary in Hangzhou, Mainland China, to serve as a technical support and research and development center. WTF Technology is intended to operate as a cost center and will recruit local employees to conduct research and development and provide technical support services to our operations. WTF Technology currently does not generate any operating revenue or profits.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a result of the establishment of our PRC subsidiary, we are now subject to certain PRC laws and regulations applicable to foreign-invested enterprises in Mainland China, which include, but are not limited to, those PRC laws and regulations relating to corporate governance, taxation, foreign exchange control, employment, social insurance, and intellectual property. Compliance with these laws and regulations may increase our operating costs and administrative burden. Any failure to comply with applicable PRC laws and regulations could subject us to fines, penalties, operational restrictions or other sanctions, which could materially and adversely affect our business, results of operation, and financial condition.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PRC subsidiary will recruit and employ local personnel, which subjects us to PRC labor laws and social insurance obligations. PRC employment laws impose requirements regarding labor contracts, severance, termination, social insurance contributions, and employee benefits. Any disputes with employees or failure to comply with PRC labor laws may result in arbitration, litigation, penalties, or reputational damage.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PRC foreign exchange controls may restrict our ability to fund our PRC subsidiary or repatriate funds. Capital contributions to our PRC subsidiary and cross-border service payments may be subject to State Administration of Foreign Exchange (SAFE) registration, regulatory approvals, or procedural requirements. Any delay or inability to make capital injections or remit funds could adversely affect the operations of our PRC subsidiary.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Intellectual property developed by our PRC subsidiary may be subject to PRC intellectual property laws. Although PRC law provides for protection of intellectual property rights, enforcement may be uncertain or inconsistent. We may face risks of misappropriation of trade secrets or disputes regarding ownership of intellectual property developed by PRC employees, which could materially and adversely affect our business, results of operation, and financial condition. </w:t>
      </w:r>
    </w:p>
    <w:p>
      <w:pPr>
        <w:pStyle w:val="TextBody"/>
        <w:bidi w:val="0"/>
        <w:spacing w:before="240" w:after="283"/>
        <w:ind w:left="0" w:right="0" w:hanging="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If we and our subsidiaries were to be required to comply with cybersecurity, data privacy, data protection, or any other PRC laws and regulations related thereto and we and our subsidiaries are unable to comply with such PRC laws and regulations, our financial condition, and results of operations may be materially and adversely affected.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and our subsidiaries may be subject to a variety of cybersecurity, data privacy, data protection, and other PRC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the activities of our subsidiaries in Hong Kong and Mainland China and require us and our subsidiaries to incur increased costs and efforts to comply, and any breach or noncompliance may subject us and our subsidiaries to proceedings against such entity(ies), damage our and our subsidiaries’ reputation, or result in penalties and other significant legal liabilities, and thus may materially and adversely affect the business of our subsidiaries, and our financial condition and results of operations.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PRC Data Security Law, or the Data Security Law, which was promulgated by the Standing Committee of the National People’s Congress on June 10, 2021 and took effect on September 1, 2021, requires data collection to be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12</w:t>
      </w:r>
    </w:p>
    <w:p>
      <w:pPr>
        <w:pStyle w:val="HorizontalLine"/>
        <w:bidi w:val="0"/>
        <w:spacing w:before="200" w:after="200"/>
        <w:jc w:val="left"/>
        <w:rPr/>
      </w:pPr>
      <w:r>
        <w:rPr/>
      </w:r>
    </w:p>
    <w:p>
      <w:pPr>
        <w:pStyle w:val="TextBody"/>
        <w:bidi w:val="0"/>
        <w:jc w:val="left"/>
        <w:rPr/>
      </w:pPr>
      <w:hyperlink w:anchor="TOC">
        <w:bookmarkStart w:id="28" w:name="ny20075344x1_posam_105-risk_pg2"/>
        <w:bookmarkEnd w:id="2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conducted in a legitimate and proper manner, and stipulates that, for the purpose of data protection, data processing activities must be conducted based on data classification and a hierarchical protection system for data security. Article 2 of the Data Security Law applies to data processing activities within the territory of Mainland China, as well as data processing activities conducted outside the territory of Mainland China, which jeopardize the national interest or the public interest of China or the rights and interest of any PRC organization and citizens. Any entity failing to perform the obligations provided in the Data Security Law may be subject to orders to correct, warnings and penalties including ban or suspension of business, revocation of business licenses or other penalties. As of the date of this prospectus, (i) neither we nor any of our subsidiaries conduct any data processing activities in Mainland China, and (ii) neither we nor any of our subsidiaries have conducted any data processing activities which may endanger the national interest or the public interest of China or the rights and interest of any Chinese organization and citizens. Therefore, we believe that the Data Security Law is not applicable to us and our subsidiaries.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August 20, 2021, the Standing Committee of the National People’s Congress of China promulgated the Personal Information Protection Law, which integrates the scattered rules with respect to personal information rights and privacy protection and took effect on November 1, 2021. Article 3 of the Personal Information Protection Law applies not only to personal information processing activities carried out in the territory of Mainland China but also to personal information processing activities outside the Mainland China for the purpose of offering products or services to domestic natural persons in the territory of Mainland China. The offending entities could be ordered to correct, or to suspend or terminate the provision of services, and face confiscation of illegal income, fines or other penalties. We cannot rule out the possibility that any PRC governmental authorities may subject us and our subsidiaries to such laws and regulations in the future. If these laws are deemed to be applicable to us and our subsidiaries, we cannot assure you that we and our subsidiaries will be able to comply with such laws in all respects, and we and our subsidiaries may be ordered to rectify and terminate any actions that are deemed to be illegal by the PRC governmental authorities and may become subject to fines and other government sanctions, which may materially and adversely affect the business of our subsidiaries, and our financial condition and results of operations.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July 7, 2022, the CAC issued the Measures for Security Assessment of Cross-border Data Transfer, which took effect on September 1, 2022. On March 22, 2024, the CAC issued the Provisions on Facilitating and Regulating Cross-Border Data Flows (the “Cross-Border Data Flows Provisions”). According to these measures, in addition to the self-risk assessment requirement for provision of any data outside Mainland China, a data processor shall apply to the competent cyberspace department for a data security assessment and clearance of outbound data transfer in any of the following events: (i) critical information infrastructure operators providing personal information or important data overseas; and (ii) data processors other than critical information infrastructure operators providing important data overseas, or cumulatively providing overseas personal information (excluding sensitive personal information) of more than one million individuals or sensitive personal information of more than 10,000 individuals since January 1 of the current year. In addition, the Cross-Border Data Flows Provisions clarify that data processors are not required to conduct a security assessment for outbound data transfer for data that has not been notified or published as “important data” by relevant departments or regions. As of the date of this prospectus, (i) neither we nor our subsidiaries have received any formal notice from any PRC cybersecurity regulator identifying us or our subsidiaries as a “critical information infrastructure operator” or suggesting that the data we process is determined to be important data that will necessitate a security assessment, and (ii) our subsidiaries have processed far less than one million users’ personal information. From January 1, 2022 and up to the date of this prospectus, our subsidiaries have made outbound transfers of no more than one million users’ personal information and no more than ten thousand users’ sensitive personal information, cumulatively.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However, given the recent issuance of the above PRC laws and regulations related to cybersecurity and data privacy, the interpretation and implementation of these laws and regulations may be subject to revisions. We cannot assure you that we and our subsidiaries will be compliant with such new regulations in all respects, and we and our subsidiaries may be ordered to rectify and terminate any actions that are deemed illegal by the PRC governmental authorities and become subject to fines and other government sanctions, which may materially and adversely affect the business of our subsidiaries, and our financial condition and results of operations. </w:t>
      </w:r>
    </w:p>
    <w:p>
      <w:pPr>
        <w:pStyle w:val="TextBody"/>
        <w:bidi w:val="0"/>
        <w:spacing w:before="240" w:after="283"/>
        <w:ind w:left="0" w:right="0" w:hanging="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If we were to be required to obtain any permission or approval from or complete any filing procedures with the CSRC, the CAC, or other PRC governmental authorities in connection with our future offerings under the PRC laws, we may be fined or subject to other sanctions.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February 17, 2023, the CSRC promulgated the Trial Administrative Measures of Overseas Securities Offering and Listing by Domestic Companies (“Trial Measures”) and five supporting guidelines, which took effect on March 31,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13</w:t>
      </w:r>
    </w:p>
    <w:p>
      <w:pPr>
        <w:pStyle w:val="HorizontalLine"/>
        <w:bidi w:val="0"/>
        <w:spacing w:before="200" w:after="200"/>
        <w:jc w:val="left"/>
        <w:rPr/>
      </w:pPr>
      <w:r>
        <w:rPr/>
      </w:r>
    </w:p>
    <w:p>
      <w:pPr>
        <w:pStyle w:val="TextBody"/>
        <w:bidi w:val="0"/>
        <w:jc w:val="left"/>
        <w:rPr/>
      </w:pPr>
      <w:hyperlink w:anchor="TOC">
        <w:bookmarkStart w:id="29" w:name="ny20075344x1_posam_105-risk_pg3"/>
        <w:bookmarkEnd w:id="2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Mainland Chinese nationals or domiciled in Mainland China.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supporting guidelines further interpret that even if the issuer does not meet the above recognition criteria, but submits an application for issuance and listing in the overseas market in accordance with the relevant regulations applicable to non-domestic/regional issuers, and the risk factors disclosed in accordance with regulations are mainly related to the Mainland China market, the issuer should follow the principle of “substance over form” to confirm whether the issuer has to complete the filing procedures with the CSRC. Our counsel as to PRC laws, Global Law Office, advised us that we were not subject to the filing requirements under the supporting guidelines for our initial public offering completed in April 2025. However, given the current PRC regulatory environment and the establishment and operation of our PRC subsidiary, it is uncertain whether we or our subsidiaries will be required to obtain approvals from the PRC government to offer securities to foreign investors in the future, and whether we would be able to obtain such approvals.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the regulatory actions of the Trial Measures and the supporting guidelines are continuously evolving, we cannot rule out the possibility that CSRC may promulgate new guidance or rules with respect to the implementation and interpretation of the principle of “substance over form.” Therefore, we cannot assure you that our initial public offering, any future offering of Ordinary Shares and our continued listing will not be deemed to be an “indirect overseas offering and listing by companies in Mainland China” and subject to the filing procedures in the future. If our initial public offering, any future offering and continued listing is deemed to be an “indirect overseas offering and listing by a company in Mainland China” under the Trial Measures and/or its further interpretation, we may need to complete the filing procedures for our initial public offering, our future offering and continued listing, retrospectively. If we are subject to the filing requirements, we cannot assure you that we will be able to complete such filings in a timely manner or even at all.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Cybersecurity Review Measures, which was jointly promulgated by the CAC and other relevant PRC governmental authorities on December 28, 2021 require that, among others, “critical information infrastructure” or network platform operators holding over one million users’ personal information to apply for a cybersecurity review before any public offering on a foreign stock exchange.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the date of this prospectus, the PRC Subsidiary maintains a small office, for registration purposes only, and has only one employee in Mainland China. Our counsel as to PRC laws, Global Law Office, has advised us that, as of the date of this prospectus, neither we nor our subsidiaries are required to apply for cybersecurity review for our public offerings on a foreign stock exchange, because (i) neither we nor our subsidiaries own or control, directly or indirectly, any major domestic assets or interests in Mainland China, our subsidiaries’ major business operations and personnel are located in Hong Kong; (ii) our data processing activities are solely carried out by our subsidiaries outside of Mainland China for the purpose of offering services in Hong Kong and other jurisdictions outside of Mainland China; (iii) a minimal proportion of our subsidiaries’ customers are in the Mainland China and neither we nor our subsidiaries control more than one millions users’ personal information as of the date of this prospectus; (iv) neither we nor our subsidiaries own any critical information infrastructure, as of the date of this prospectus, neither we nor our subsidiaries have received any notice of identifying us or our subsidiaries as critical information infrastructure from any relevant PRC governmental authorities; (v) our subsidiaries’ operations do not affect national security; and (vi) neither we nor our subsidiaries have been informed by any PRC governmental authority of any requirement for a cybersecurity review.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our counsel as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14</w:t>
      </w:r>
    </w:p>
    <w:p>
      <w:pPr>
        <w:pStyle w:val="HorizontalLine"/>
        <w:bidi w:val="0"/>
        <w:spacing w:before="200" w:after="200"/>
        <w:jc w:val="left"/>
        <w:rPr/>
      </w:pPr>
      <w:r>
        <w:rPr/>
      </w:r>
    </w:p>
    <w:p>
      <w:pPr>
        <w:pStyle w:val="TextBody"/>
        <w:bidi w:val="0"/>
        <w:jc w:val="left"/>
        <w:rPr/>
      </w:pPr>
      <w:hyperlink w:anchor="TOC">
        <w:bookmarkStart w:id="30" w:name="ny20075344x1_posam_105-risk_pg4"/>
        <w:bookmarkEnd w:id="3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to PRC laws.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Since these statements and regulatory actions are continuously evolving, we cannot rule out the possibility that PRC governmental authorities may promulgate new guidance or rules in the interpretation and the enforcement of the above cybersecurity and overseas listing laws and regulation. If we are required to obtain approval or filings from any governmental authorities, including the CAC and/or the CSRC, in connection with the continued listing of our securities on a stock exchange outside of Hong Kong or Mainland China, it is uncertain how long it will take for us to obtain such approval or complete such filing, and, even if we obtain such approval or complete such filing, the approval or filing could be rescinded. Any failure to obtain or a delay in obtaining the necessary permissions from or complete the necessary filing procedure with the PRC governmental authorities to conduct offerings or list outside of Hong Kong or Mainland China may subject us and our subsidiaries to sanctions imposed by the PRC governmental authorities, which could include fines and penalties, suspension of business, proceedings against us and our subsidiaries, and even fines on the controlling shareholder and other responsible persons, and the ability to conduct the business of our subsidiaries, our and our subsidiaries’ ability to invest into Mainland China as foreign investments or accept foreign investments, or our ability to continue to list on Nasdaq may be restricted, and the business of our subsidiaries, and our reputation, financial condition, and results of operations may be materially and adversely affected. Additionally, these risks could result in a material adverse change to the value of our Ordinary Shares, significantly limit or completely hinder our ability to continue to offer securities to investors or cause such securities to significantly decline in value or become worthless. </w:t>
      </w:r>
    </w:p>
    <w:p>
      <w:pPr>
        <w:pStyle w:val="TextBody"/>
        <w:bidi w:val="0"/>
        <w:spacing w:before="410" w:after="283"/>
        <w:ind w:left="0" w:right="0" w:hanging="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Recent regulatory actions by the China Securities Regulatory Commission (CSRC) targeting illegal cross-border securities activities, together with a related circular from the Hong Kong Securities and Futures Commission (SFC), may restrict or prohibit our Hong Kong subsidiary from providing brokerage and dealing services to mainland Chinese investors, which could materially and adversely affect our business, financial condition and results of operations.</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May 9, 2026, the CSRC and seven other PRC authorities jointly issued the “Implementation Plan for Comprehensive Rectification of Illegal Cross-Border Securities, Futures, and Fund Operations,” or the Implementation Plan, which was approved by the State Council, prohibiting foreign institutions from illegally conducting certain securities, futures and financial business activities, operating websites and trading software, providing investment information, conducting rebate-based marketing campaigns, and inducing subscriptions for overseas-listed securities in mainland China without approval (the “Covered Business Areas”). The prohibited behaviors include marketing, account opening, processing trading instructions and fund transfers. During a two-year centralized rectification period, only one-way sell transactions and fund outflows are permitted for existing mainland investors; after such period, foreign institutions must discontinue their mainland China-based websites, trading software and supporting servers.</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May 22, 2026, the SFC separately issued “Circular to Licensed Corporations – Expected Controls for Account Opening and Maintaining Relationships with Clients”, reminding licensed corporations that, when providing services to investors outside Hong Kong, they must comply with applicable overseas regulatory requirements (including those of the CSRC), and that any breaches of applicable regulatory requirements in jurisdictions outside Hong Kong may constitute non-compliance with the SFC Code of Conduct, which may result in supervisory or enforcement actions taken by the SFC.</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May 22, 2026, the CSRC announced its investigation of, and dispatch of administrative penalty pre-notification letters to, several larger market participants, including Futu Holdings Limited, which entity disclosed that it received a Notice of Investigation and Administrative Penalty Pre-Notification Letter alleging unlicensed securities, fund and futures business activities in mainland China, with proposed penalties totaling approximately RMB 1.85 billion plus a personal fine on its chief executive officer. Similar actions have been taken against other brokers serving mainland clients. We engage in the provision of (i) securities brokerage and distribution services, margin financing services and other ancillary services; and (ii) software licensing (including subscription based) and related support services including the licensing of trading platform APP, upgrades and enhancements, maintenance and other related services to financial institutions through our subsidiaries in Hong Kong, including WSI, our subsidiary licensed to conduct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15</w:t>
      </w:r>
    </w:p>
    <w:p>
      <w:pPr>
        <w:pStyle w:val="HorizontalLine"/>
        <w:bidi w:val="0"/>
        <w:spacing w:before="200" w:after="200"/>
        <w:jc w:val="left"/>
        <w:rPr/>
      </w:pPr>
      <w:r>
        <w:rPr/>
      </w:r>
    </w:p>
    <w:p>
      <w:pPr>
        <w:pStyle w:val="TextBody"/>
        <w:bidi w:val="0"/>
        <w:jc w:val="left"/>
        <w:rPr/>
      </w:pPr>
      <w:hyperlink w:anchor="TOC">
        <w:bookmarkStart w:id="31" w:name="ny20075344x1_posam_105-risk_pg5"/>
        <w:bookmarkEnd w:id="3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Type 1 (dealing in securities), Type 4 (advising on securities), Type 5 (advising on futures contracts) and Type 9 (asset management) regulated activities under HKSFO in Hong Kong. We maintain no servers in mainland China, however, there can be no assurance that the CSRC will not take the view that our services to mainland Chinese clients constitute illegal cross-border activities.</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response to the SFC circular, we are conducting enhanced measures for newly onboarded mainland Chinese client accounts, as expected by the SFC, including requiring client self-certification on source of funding and more robust verification of clients’ recent sources of funding. We may need to restrict services for existing mainland Chinese clients (for example, to sell-only transactions during the rectification period) or take other steps to mitigate risk. Any such restrictions, account closures, client communications or wind-down activities, as well as any regulatory actions, fines, license conditions or reputational harm, could have a material adverse effect on our business, even if the percentage of our revenue attributable to mainland Chinese investors is less than 5% as of the date of this prospectus. We have limited information to predict the ultimate outcome or scope of any regulatory actions, how they may be applied to our operations in mainland China, or how we may have to reorient our expansion plans in such region, as of the date of this prospectus. </w:t>
      </w:r>
    </w:p>
    <w:p>
      <w:pPr>
        <w:pStyle w:val="TextBody"/>
        <w:bidi w:val="0"/>
        <w:spacing w:before="28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Risks Related to Our Subsidiaries’ Business and Industry </w:t>
      </w:r>
    </w:p>
    <w:p>
      <w:pPr>
        <w:pStyle w:val="TextBody"/>
        <w:bidi w:val="0"/>
        <w:spacing w:before="120" w:after="283"/>
        <w:ind w:left="0" w:right="0" w:hanging="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We have historically derived a substantial portion of revenue from WGI, a single related party customer. The recent loss of WGI as a substantial customer will have an adverse impact on our revenues in the near term if it is not replaced with one or more customers that generate the same volume of revenues, which could materially and adversely affect our financial results.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WGI, which is a related party over which we have exercised significant influence, was the largest customer for the fiscal years ended March 31, 2025, 2024 and 2023. See “</w:t>
      </w:r>
      <w:r>
        <w:rPr>
          <w:rFonts w:ascii="Times New Roman;Times;serif" w:hAnsi="Times New Roman;Times;serif"/>
          <w:i/>
          <w:color w:val="000000"/>
          <w:sz w:val="20"/>
          <w:shd w:fill="FFFFFF" w:val="clear"/>
        </w:rPr>
        <w:t>Item 7. Major Shareholders and Related Party Transactions — B. Related Party Transactions</w:t>
      </w:r>
      <w:r>
        <w:rPr>
          <w:rFonts w:ascii="Times New Roman;Times;serif" w:hAnsi="Times New Roman;Times;serif"/>
          <w:color w:val="000000"/>
          <w:sz w:val="20"/>
          <w:shd w:fill="FFFFFF" w:val="clear"/>
        </w:rPr>
        <w:t>” of our 2025 Annual Report. WGI accounted for approximately 64.2%, 39.5% and 81.5% of our total revenues for the fiscal years ended March 31, 2025, 2024, and 2023, respectively. Although WGI was a significant customer in our recent financial reporting periods, WGI is no longer our customer effective from October 2025. As a result, we no longer will generate revenue from this related party relationship with WGI, and our historical dependence on WGI presents transitional and operational risks as we shift our customer base.</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Since August 2025, a New Zealand incorporated customer controlled by a less than 5% minority shareholder of the Company has emerged as a new customer that we anticipate may contribute substantial revenue, however, we can provide no assurance as of the date of this prospectus that such entity will do so at the same level as WGI historically has or will contribute in a manner that will offset the loss of WGI sufficient to impact future financial results.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heavy reliance on a single customer has left our subsidiaries’ business vulnerably exposed. The transition from WGI to other key customer(s) has resulted in changes to our commercial relationships, including requiring the renegotiation or termination of agreements, which could lead to potential delays in payment cycles, and may give rise to uncertainties around pricing or other business terms upon which our subsidiaries transact with third parties. Any adverse changes to our relationship with any of our new key customer(s), or any residual effects from our prior relationship with WGI could materially and adversely affect our financial results.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Even if our subsidiaries expect to obtain and retain new key customer(s), if the relationship with new key customer(s) deteriorates for any reason, or there is any adverse change in the demand of new key customer(s) for our subsidiaries’ services, or if our subsidiaries lose any new key customer(s), our subsidiaries’ business and our results of operations and financial conditions could be materially and adversely affected. Our historical reliance on WGI also means that our subsidiaries have had limited experience in attracting and maintaining non-related party customers and in operating without reliance upon a major related party customer, and there is no assurance that our subsidiaries will be able to successfully transition from their dependence on WGI over time to a more diversified, non–related party customer base or achieve sustained financial independence from the prior relationship with WGI.</w:t>
      </w:r>
    </w:p>
    <w:p>
      <w:pPr>
        <w:pStyle w:val="TextBody"/>
        <w:bidi w:val="0"/>
        <w:spacing w:before="240" w:after="283"/>
        <w:ind w:left="0" w:right="0" w:hanging="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WSI and WTI are dependent on a single supplier, Shenzhen Jinhui Technology Co., Ltd., an information technology company, for providing software licensing (including subscription based) and related support services.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Shenzhen Jinhui Technology Co. Ltd. (“Shenzhen Jinhui”) was a related party controlled by Mr. Zhou Kai, our Chairman of the Board, Director, Chief Technology Officer and shareholder who owns more than 5% of the number of issued and outstanding Ordinary Shares of our Company. Shenzhen Jinhui is no longer a related party as of the date of this prospectus. WSI and WTI have outsourced the trading platform APP development and related support services in its software licensing (including subscription based) and related support services to Shenzhen Jinhui. As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16</w:t>
      </w:r>
    </w:p>
    <w:p>
      <w:pPr>
        <w:pStyle w:val="HorizontalLine"/>
        <w:bidi w:val="0"/>
        <w:spacing w:before="200" w:after="200"/>
        <w:jc w:val="left"/>
        <w:rPr/>
      </w:pPr>
      <w:r>
        <w:rPr/>
      </w:r>
    </w:p>
    <w:p>
      <w:pPr>
        <w:pStyle w:val="TextBody"/>
        <w:bidi w:val="0"/>
        <w:jc w:val="left"/>
        <w:rPr/>
      </w:pPr>
      <w:hyperlink w:anchor="TOC">
        <w:bookmarkStart w:id="32" w:name="ny20075344x1_posam_105-risk_pg6"/>
        <w:bookmarkEnd w:id="3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such, WSI and WTI are dependent on Shenzhen Jinhui for providing such services to software licensing (including subscription based) and related support services customers. The dependence on Shenzhen Jinhui exposes WSI and WTI to risks, including reduced control over costs and constraints based on the availability, terms, and pricing of these services. While we consider the chance of WSI and WTI being denied access to such services provided by Shenzhen Jinhui to be remote, if WSI and WTI were denied access to such services for some reasons, or if WSI and WTI were to experience any material disruptions to the sourcing of such services from Shenzhen Jinhui, WSI and WTI may not be able to switch to an alternative supplier at all or on substantially similar terms. As a result, our results of operations and financial condition could be materially and adversely affected.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As Shenzhen Jinhui is a significant service provider to WSI and WTI, any deterioration to our relationship with Shenzhen Jinhui or any adverse changes to the business terms with Shenzhen Jinhui could result in significant costs and potential service interruptions, if no suitable service provider to advance the trading platform APP development and furnish related support services in software licensing (including subscription based) and related support services can be located.</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We and our subsidiaries may be subject to litigation, arbitration or other legal proceeding risks.</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March 2026, certain shareholders who purchased the Company’s securities in connection with the Company’s initial public offering filed a securities class action lawsuit in the Supreme Court of the State of New York, New York County, against the Company, certain other corporate defendants, underwriters, and individual defendants. The complaint alleges that the Company violated Sections 11, 12(a)(2), and 15 of the Securities Act by negligently preparing the registration statement. As of the date of this prospectus, the Company has not filed any formal response to the claims. The Company strongly denies any wrongdoing and intends to vigorously defend against all claims asserted in the lawsuit. Because the lawsuit remains in its preliminary stage, the Company is currently unable to estimate the potential outcome or any loss, if any, that may result from the resolution of the lawsuit.</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and our subsidiaries, as well as directors, officers and employees of us and our subsidiaries may from time to time become subject to or involved in various claims, controversies, lawsuits, and legal proceedings. Claims, lawsuits, and litigation are subject to inherent uncertainties, and we are uncertain whether the foregoing claim would develop into a lawsuit. Lawsuits and litigation may cause us and our subsidiaries to incur defense costs, utilize a significant portion of our resources and divert management’s attention from our day-to-day operations, any of which could harm the business of our subsidiaries. Any settlements or judgments against us and our subsidiaries could have a material adverse impact on our financial condition, results of operations and cash flows. In addition, negative publicity regarding claims or judgments made against us and our subsidiaries may damage our reputation and may result in a material adverse impact on us and our subsidiaries.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Risks Relating to This Offering </w:t>
      </w:r>
    </w:p>
    <w:p>
      <w:pPr>
        <w:pStyle w:val="TextBody"/>
        <w:bidi w:val="0"/>
        <w:spacing w:before="120" w:after="283"/>
        <w:ind w:left="0" w:right="0" w:hanging="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This is a best-efforts offering, no minimum number or dollar amount of securities is required to be sold, and we may not raise the amount of capital we believe is required for our business plans.</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the Placement Agent’s commissions, and proceeds to us are not 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 number of securities sufficient to fund our business plan. Thus, we may not raise the amount of capital we believe is required for our operations in the short term and may need to raise additional funds, which may not be available or available on terms acceptable to us.</w:t>
      </w:r>
    </w:p>
    <w:p>
      <w:pPr>
        <w:pStyle w:val="TextBody"/>
        <w:bidi w:val="0"/>
        <w:spacing w:before="240" w:after="283"/>
        <w:ind w:left="0" w:right="0" w:hanging="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The trading price of our Ordinary Shares has been and is likely to continue to be highly volatile, and purchasers of our Ordinary Shares could incur substantial losses.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share price has been and will likely continue to be volatile for the foreseeable future. The stock market in general and the market for companies similarly situated like us in particular have experienced extreme volatility that has often been unrelated to the operating performance of particular companies. As a result of this volatility, investors may not be able to sell their Ordinary Shares at or above the price they paid.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17</w:t>
      </w:r>
    </w:p>
    <w:p>
      <w:pPr>
        <w:pStyle w:val="HorizontalLine"/>
        <w:bidi w:val="0"/>
        <w:spacing w:before="200" w:after="200"/>
        <w:jc w:val="left"/>
        <w:rPr/>
      </w:pPr>
      <w:r>
        <w:rPr/>
      </w:r>
    </w:p>
    <w:p>
      <w:pPr>
        <w:pStyle w:val="TextBody"/>
        <w:bidi w:val="0"/>
        <w:jc w:val="left"/>
        <w:rPr/>
      </w:pPr>
      <w:hyperlink w:anchor="TOC">
        <w:bookmarkStart w:id="33" w:name="ny20075344x1_posam_105-risk_pg7"/>
        <w:bookmarkEnd w:id="3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The sale or availability for sale of substantial amounts of our Ordinary Shares could adversely affect their market price.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Sales of substantial amounts of our Ordinary Shares in the public market after the completion of this offering, or the perception that these sales could occur, could adversely affect the market price of our Ordinary Shares and materially impair our ability to raise capital through equity offerings in the future. The Ordinary Shares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if any. We cannot predict what effect, if any, market sales of securities held by our significant shareholders or any other shareholder or the availability of these securities for future sale will have on the market price of our Ordinary Shares. See “</w:t>
      </w:r>
      <w:r>
        <w:rPr>
          <w:rFonts w:ascii="Times New Roman;Times;serif" w:hAnsi="Times New Roman;Times;serif"/>
          <w:i/>
          <w:color w:val="000000"/>
          <w:sz w:val="20"/>
          <w:shd w:fill="FFFFFF" w:val="clear"/>
        </w:rPr>
        <w:t>Plan of Distribution</w:t>
      </w:r>
      <w:r>
        <w:rPr>
          <w:rFonts w:ascii="Times New Roman;Times;serif" w:hAnsi="Times New Roman;Times;serif"/>
          <w:color w:val="000000"/>
          <w:sz w:val="20"/>
          <w:shd w:fill="FFFFFF" w:val="clear"/>
        </w:rPr>
        <w:t>” and “</w:t>
      </w:r>
      <w:r>
        <w:rPr>
          <w:rFonts w:ascii="Times New Roman;Times;serif" w:hAnsi="Times New Roman;Times;serif"/>
          <w:i/>
          <w:color w:val="000000"/>
          <w:sz w:val="20"/>
          <w:shd w:fill="FFFFFF" w:val="clear"/>
        </w:rPr>
        <w:t>Shares Eligible for Future Sale</w:t>
      </w:r>
      <w:r>
        <w:rPr>
          <w:rFonts w:ascii="Times New Roman;Times;serif" w:hAnsi="Times New Roman;Times;serif"/>
          <w:color w:val="000000"/>
          <w:sz w:val="20"/>
          <w:shd w:fill="FFFFFF" w:val="clear"/>
        </w:rPr>
        <w:t xml:space="preserve">” for a more detailed description of the restrictions on selling our securities after this offering. </w:t>
      </w:r>
    </w:p>
    <w:p>
      <w:pPr>
        <w:pStyle w:val="TextBody"/>
        <w:bidi w:val="0"/>
        <w:spacing w:before="240" w:after="283"/>
        <w:ind w:left="0" w:right="0" w:hanging="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You will experience immediate and substantial dilution in the net tangible book value per share of the Ordinary Shares you purchase.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Because the assumed public offering price per Ordinary Share being offered is substantially higher than the net tangible book value per share of our Ordinary Shares, you will suffer immediate and substantial dilution in the net tangible book value of the Ordinary Shares you purchase in the offering. Assuming a public offering price of $2.94 per share, which is equal to the closing trading price of our Ordinary Shares as reported on the Nasdaq Capital Market on June 8, 2026, you will experience an immediate dilution of approximately $2.16 per Ordinary Share, with respect to the net tangible book value of our Ordinary Shares as of September 30, 2025. See “</w:t>
      </w:r>
      <w:r>
        <w:rPr>
          <w:rFonts w:ascii="Times New Roman;Times;serif" w:hAnsi="Times New Roman;Times;serif"/>
          <w:i/>
          <w:color w:val="000000"/>
          <w:sz w:val="20"/>
          <w:shd w:fill="FFFFFF" w:val="clear"/>
        </w:rPr>
        <w:t>Dilution</w:t>
      </w:r>
      <w:r>
        <w:rPr>
          <w:rFonts w:ascii="Times New Roman;Times;serif" w:hAnsi="Times New Roman;Times;serif"/>
          <w:color w:val="000000"/>
          <w:sz w:val="20"/>
          <w:shd w:fill="FFFFFF" w:val="clear"/>
        </w:rPr>
        <w:t xml:space="preserve">.” </w:t>
      </w:r>
    </w:p>
    <w:p>
      <w:pPr>
        <w:pStyle w:val="TextBody"/>
        <w:bidi w:val="0"/>
        <w:spacing w:before="29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We may use the proceeds of this offering in ways with which you may not agree.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management will have considerable discretion in deciding how to apply the proceeds of this offering.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the price of our Ordinary Shares, nor that these net proceeds will be placed only in investments that generate income or appreciate in value. </w:t>
      </w:r>
    </w:p>
    <w:p>
      <w:pPr>
        <w:pStyle w:val="TextBody"/>
        <w:bidi w:val="0"/>
        <w:spacing w:before="240" w:after="283"/>
        <w:ind w:left="0" w:right="0" w:hanging="0"/>
        <w:jc w:val="both"/>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Although, as a foreign private issuer, we are exempt from certain corporate governance standards applicable to U.S. issuers, if we cannot continue to satisfy the listing requirements and other rules of Nasdaq, including the newly adopted Nasdaq Rule IM-5101-4, our securities may be delisted, which could negatively impact the price of our securities and your ability to sell them.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order to maintain our listing on Nasdaq, we will be required to comply with certain rules of Nasdaq, including those regarding minimum stockholders’ equity, minimum share price, minimum market value of publicly held shares, and various additional requirements. While we initially met the listing requirements and other applicable rules of Nasdaq, we may not be able to continue to satisfy these requirements and applicable rules. If we are unable to satisfy the criteria of Nasdaq for maintaining our listing, our securities could be subject to delisting, which would have a negative effect on the price of our Ordinary Shares and impair your ability to sell your shares.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on June 3, 2026, the SEC approved Nasdaq Rule IM-5101-4, which grants Nasdaq the authority to delist securities where the trading activity in such securities is indicative of potential manipulation and the SEC has implemented a temporary trading suspension of such securities pursuant to Section 12(k) of the Exchange Act (a “Section 12(k) suspension”), if Nasdaq determines that delisting is necessary to protect investors. Nasdaq may exercise this authority even if the company and its securities otherwise satisfy all applicable Nasdaq listing standards at the time of the determination, and even if Nasdaq cannot determine that the company or any associated individual was involved.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Nasdaq subsequently delists our securities from trading, we could face significant consequences, including: </w:t>
      </w:r>
    </w:p>
    <w:tbl>
      <w:tblPr>
        <w:tblW w:w="5650" w:type="dxa"/>
        <w:jc w:val="left"/>
        <w:tblInd w:w="0" w:type="dxa"/>
        <w:tblLayout w:type="fixed"/>
        <w:tblCellMar>
          <w:top w:w="0" w:type="dxa"/>
          <w:left w:w="0" w:type="dxa"/>
          <w:bottom w:w="0" w:type="dxa"/>
          <w:right w:w="0" w:type="dxa"/>
        </w:tblCellMar>
      </w:tblPr>
      <w:tblGrid>
        <w:gridCol w:w="110"/>
        <w:gridCol w:w="5540"/>
      </w:tblGrid>
      <w:tr>
        <w:trPr/>
        <w:tc>
          <w:tcPr>
            <w:tcW w:w="110" w:type="dxa"/>
            <w:tcBorders/>
            <w:vAlign w:val="center"/>
          </w:tcPr>
          <w:p>
            <w:pPr>
              <w:pStyle w:val="TableContents"/>
              <w:bidi w:val="0"/>
              <w:spacing w:before="0" w:after="0"/>
              <w:jc w:val="left"/>
              <w:rPr>
                <w:color w:val="000000"/>
              </w:rPr>
            </w:pPr>
            <w:r>
              <w:rPr>
                <w:color w:val="000000"/>
              </w:rPr>
              <w:t>•</w:t>
            </w:r>
          </w:p>
        </w:tc>
        <w:tc>
          <w:tcPr>
            <w:tcW w:w="5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limited availability for market quotations for our Ordinary Shares; </w:t>
            </w:r>
          </w:p>
        </w:tc>
      </w:tr>
    </w:tbl>
    <w:tbl>
      <w:tblPr>
        <w:tblW w:w="4525" w:type="dxa"/>
        <w:jc w:val="left"/>
        <w:tblInd w:w="0" w:type="dxa"/>
        <w:tblLayout w:type="fixed"/>
        <w:tblCellMar>
          <w:top w:w="0" w:type="dxa"/>
          <w:left w:w="0" w:type="dxa"/>
          <w:bottom w:w="0" w:type="dxa"/>
          <w:right w:w="0" w:type="dxa"/>
        </w:tblCellMar>
      </w:tblPr>
      <w:tblGrid>
        <w:gridCol w:w="110"/>
        <w:gridCol w:w="4415"/>
      </w:tblGrid>
      <w:tr>
        <w:trPr/>
        <w:tc>
          <w:tcPr>
            <w:tcW w:w="110" w:type="dxa"/>
            <w:tcBorders/>
            <w:vAlign w:val="center"/>
          </w:tcPr>
          <w:p>
            <w:pPr>
              <w:pStyle w:val="TableContents"/>
              <w:bidi w:val="0"/>
              <w:spacing w:before="0" w:after="0"/>
              <w:jc w:val="left"/>
              <w:rPr>
                <w:color w:val="000000"/>
              </w:rPr>
            </w:pPr>
            <w:r>
              <w:rPr>
                <w:color w:val="000000"/>
              </w:rPr>
              <w:t>•</w:t>
            </w:r>
          </w:p>
        </w:tc>
        <w:tc>
          <w:tcPr>
            <w:tcW w:w="4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reduced liquidity with respect to our Ordinary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determination that our Ordinary Shares are “penny stock,” which will require brokers trading in our Ordinary Shares to adhere to more stringent rules and possibly result in a reduced level of trading activity in the secondary trading market for our Ordinary Shares;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18</w:t>
      </w:r>
    </w:p>
    <w:p>
      <w:pPr>
        <w:pStyle w:val="HorizontalLine"/>
        <w:bidi w:val="0"/>
        <w:spacing w:before="200" w:after="200"/>
        <w:jc w:val="left"/>
        <w:rPr/>
      </w:pPr>
      <w:r>
        <w:rPr/>
      </w:r>
    </w:p>
    <w:p>
      <w:pPr>
        <w:pStyle w:val="TextBody"/>
        <w:bidi w:val="0"/>
        <w:jc w:val="left"/>
        <w:rPr/>
      </w:pPr>
      <w:hyperlink w:anchor="TOC">
        <w:bookmarkStart w:id="34" w:name="ny20075344x1_posam_105-risk_pg8"/>
        <w:bookmarkEnd w:id="34"/>
        <w:r>
          <w:rPr>
            <w:rStyle w:val="InternetLink"/>
            <w:rFonts w:ascii="Times New Roman;Times;Serif" w:hAnsi="Times New Roman;Times;Serif"/>
            <w:b/>
            <w:caps w:val="false"/>
            <w:smallCaps w:val="false"/>
            <w:color w:val="000000"/>
            <w:sz w:val="16"/>
            <w:shd w:fill="FFFFFF" w:val="clear"/>
          </w:rPr>
          <w:t>TABLE OF CONTENTS</w:t>
        </w:r>
      </w:hyperlink>
    </w:p>
    <w:tbl>
      <w:tblPr>
        <w:tblW w:w="4240" w:type="dxa"/>
        <w:jc w:val="left"/>
        <w:tblInd w:w="0" w:type="dxa"/>
        <w:tblLayout w:type="fixed"/>
        <w:tblCellMar>
          <w:top w:w="0" w:type="dxa"/>
          <w:left w:w="0" w:type="dxa"/>
          <w:bottom w:w="0" w:type="dxa"/>
          <w:right w:w="0" w:type="dxa"/>
        </w:tblCellMar>
      </w:tblPr>
      <w:tblGrid>
        <w:gridCol w:w="110"/>
        <w:gridCol w:w="4130"/>
      </w:tblGrid>
      <w:tr>
        <w:trPr/>
        <w:tc>
          <w:tcPr>
            <w:tcW w:w="110" w:type="dxa"/>
            <w:tcBorders/>
            <w:vAlign w:val="center"/>
          </w:tcPr>
          <w:p>
            <w:pPr>
              <w:pStyle w:val="TableContents"/>
              <w:bidi w:val="0"/>
              <w:spacing w:before="0" w:after="0"/>
              <w:jc w:val="left"/>
              <w:rPr>
                <w:color w:val="000000"/>
              </w:rPr>
            </w:pPr>
            <w:r>
              <w:rPr>
                <w:color w:val="000000"/>
              </w:rPr>
              <w:t>•</w:t>
            </w:r>
          </w:p>
        </w:tc>
        <w:tc>
          <w:tcPr>
            <w:tcW w:w="4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limited amount of news and analyst coverage; and </w:t>
            </w:r>
          </w:p>
        </w:tc>
      </w:tr>
    </w:tbl>
    <w:tbl>
      <w:tblPr>
        <w:tblW w:w="7570" w:type="dxa"/>
        <w:jc w:val="left"/>
        <w:tblInd w:w="0" w:type="dxa"/>
        <w:tblLayout w:type="fixed"/>
        <w:tblCellMar>
          <w:top w:w="0" w:type="dxa"/>
          <w:left w:w="0" w:type="dxa"/>
          <w:bottom w:w="0" w:type="dxa"/>
          <w:right w:w="0" w:type="dxa"/>
        </w:tblCellMar>
      </w:tblPr>
      <w:tblGrid>
        <w:gridCol w:w="110"/>
        <w:gridCol w:w="7460"/>
      </w:tblGrid>
      <w:tr>
        <w:trPr/>
        <w:tc>
          <w:tcPr>
            <w:tcW w:w="11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 decreased ability to issue additional securities or obtain additional financing in the future.</w:t>
            </w:r>
          </w:p>
        </w:tc>
      </w:tr>
    </w:tbl>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Nasdaq may apply additional and more stringent criteria for our continued listing.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Nasdaq Listing Rule 5101 provides Nasdaq with broad discretionary authority over the continued listing of securities on Nasdaq, and Nasdaq may use such discretion to apply additional or more stringent criteria for the continued listing of particular securities, or suspend or delist particular securities based on any event, condition, or circumstance that exists or occurs that makes continued listing of the securities on Nasdaq inadvisable or unwarranted in the opinion of Nasdaq, even though the securities meet all enumerated criteria for continued listing on Nasdaq. In addition, Nasdaq has used its discretion to deny continued listing or to apply additional and more stringent criteria in various instances, including, but not limited to: (i) where the company engaged an auditor that has not been subject to an inspection by the PCAOB, an auditor that PCAOB cannot inspect, or an auditor that has not demonstrated sufficient resources, geographic reach, or experience to adequately perform the company’s audit; (ii) where the company planned a small public offering, which would result in insiders holding a large portion of the company’s listed securities. Nasdaq was concerned that the offering size was insufficient to establish the company’s initial valuation, and there would not be sufficient liquidity to support a public market for the company; and (iii) where the company did not demonstrate sufficient nexus to the U.S. capital market, including having no U.S. shareholders, operations, or members of the board of directors or management.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June 3, 2026, the SEC approved Nasdaq Rule IM-5101-4, which specifies how Nasdaq will utilize its authority under Nasdaq Rule 5101 to delist securities where securities exhibit trading activity that is indicative of potential manipulation; the SEC has implemented a Section 12(k) suspension with respect to such securities; and Nasdaq determines that delisting such securities is necessary to protect investors. Under Nasdaq Rule IM-5101-4, Nasdaq may exercise this authority on a case-by-case basis, and in applying its discretion, Nasdaq will consider all relevant facts and circumstances. Nasdaq may exercise its authority under Nasdaq Rule IM-5101-4 even where the potential manipulation appears to be driven by third parties with no known connection to the company. In the event that Nasdaq makes a determination to delist securities pursuant to its authority under Rule IM-51010-4, a company may seek a review of such determination pursuant to Nasdaq Rule 5815. However, as Nasdaq Rule IM-5101-4 is newly implemented, the criteria pursuant to which an appeal may succeed remain uncertain as of the date this prospectus.</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Should the SEC determine that the trading activity in our Ordinary Shares has exhibited characteristics that trigger a Section 12(k) suspension and Nasdaq thereupon conducts a review under Nasdaq Rule IM-5101-4, our Ordinary Shares could be delisted, and we can provide no assurance that, under such circumstances, we would prevail in appealing such delisting determination.</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19</w:t>
      </w:r>
    </w:p>
    <w:p>
      <w:pPr>
        <w:pStyle w:val="HorizontalLine"/>
        <w:bidi w:val="0"/>
        <w:spacing w:before="200" w:after="200"/>
        <w:jc w:val="left"/>
        <w:rPr/>
      </w:pPr>
      <w:r>
        <w:rPr/>
      </w:r>
    </w:p>
    <w:p>
      <w:pPr>
        <w:pStyle w:val="TextBody"/>
        <w:bidi w:val="0"/>
        <w:jc w:val="left"/>
        <w:rPr/>
      </w:pPr>
      <w:hyperlink w:anchor="TOC">
        <w:bookmarkStart w:id="35" w:name="ny20075344x1_posam_106-fls_pg1"/>
        <w:bookmarkEnd w:id="3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36" w:name="tFLS"/>
      <w:bookmarkEnd w:id="36"/>
      <w:r>
        <w:rPr>
          <w:rFonts w:ascii="Times New Roman;Times;serif" w:hAnsi="Times New Roman;Times;serif"/>
          <w:b/>
          <w:color w:val="000000"/>
          <w:sz w:val="20"/>
          <w:shd w:fill="FFFFFF" w:val="clear"/>
        </w:rPr>
        <w:t xml:space="preserve">SPECIAL NOTE REGARDING FORWARD-LOOKING STATEMENTS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This prospectus contains forward-looking statements that reflect our current expectations and forecasts or views of future events, all of which are subject to risks and uncertainties. You can identify these statements by the fact that they do not relate strictly to historical or current facts. You can find many (but not all) of these statements by the use of words such as “approximates,” “believes,” “hopes,” “expects,” “anticipates,” “estimates,” “projects,” “intends,” “plans,” “will,” “would,” “should,” “could,” “may” or other similar expressions in this prospectus. These statements are likely to address our growth strategy, financial results and product and development programs. You must carefully consider any such statements and should understand that many factors could cause actual results to differ from our forward-looking statements. These factors may include inaccurate assumptions and a broad variety of other risks and uncertainties, including some that are known and some that are not. No forward-looking statement can be guaranteed and actual future results may vary materially. Factors that could cause actual results to differ from those discussed in the forward-looking statements include, but are not limited to: </w:t>
      </w:r>
    </w:p>
    <w:tbl>
      <w:tblPr>
        <w:tblW w:w="9955" w:type="dxa"/>
        <w:jc w:val="left"/>
        <w:tblInd w:w="0" w:type="dxa"/>
        <w:tblLayout w:type="fixed"/>
        <w:tblCellMar>
          <w:top w:w="0" w:type="dxa"/>
          <w:left w:w="0" w:type="dxa"/>
          <w:bottom w:w="0" w:type="dxa"/>
          <w:right w:w="0" w:type="dxa"/>
        </w:tblCellMar>
      </w:tblPr>
      <w:tblGrid>
        <w:gridCol w:w="110"/>
        <w:gridCol w:w="9845"/>
      </w:tblGrid>
      <w:tr>
        <w:trPr/>
        <w:tc>
          <w:tcPr>
            <w:tcW w:w="11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future financial and operating results, including revenues, income, expenditures, cash balances and other financial items; </w:t>
            </w:r>
          </w:p>
        </w:tc>
      </w:tr>
    </w:tbl>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execute our growth and expansion strategies, including our ability to meet our goals; </w:t>
            </w:r>
          </w:p>
        </w:tc>
      </w:tr>
    </w:tbl>
    <w:tbl>
      <w:tblPr>
        <w:tblW w:w="4510" w:type="dxa"/>
        <w:jc w:val="left"/>
        <w:tblInd w:w="0" w:type="dxa"/>
        <w:tblLayout w:type="fixed"/>
        <w:tblCellMar>
          <w:top w:w="0" w:type="dxa"/>
          <w:left w:w="0" w:type="dxa"/>
          <w:bottom w:w="0" w:type="dxa"/>
          <w:right w:w="0" w:type="dxa"/>
        </w:tblCellMar>
      </w:tblPr>
      <w:tblGrid>
        <w:gridCol w:w="110"/>
        <w:gridCol w:w="4400"/>
      </w:tblGrid>
      <w:tr>
        <w:trPr/>
        <w:tc>
          <w:tcPr>
            <w:tcW w:w="110" w:type="dxa"/>
            <w:tcBorders/>
            <w:vAlign w:val="center"/>
          </w:tcPr>
          <w:p>
            <w:pPr>
              <w:pStyle w:val="TableContents"/>
              <w:bidi w:val="0"/>
              <w:spacing w:before="0" w:after="0"/>
              <w:jc w:val="left"/>
              <w:rPr>
                <w:color w:val="000000"/>
              </w:rPr>
            </w:pPr>
            <w:r>
              <w:rPr>
                <w:color w:val="000000"/>
              </w:rPr>
              <w:t>•</w:t>
            </w:r>
          </w:p>
        </w:tc>
        <w:tc>
          <w:tcPr>
            <w:tcW w:w="4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current and future economic and political conditions; </w:t>
            </w:r>
          </w:p>
        </w:tc>
      </w:tr>
    </w:tbl>
    <w:tbl>
      <w:tblPr>
        <w:tblW w:w="6475" w:type="dxa"/>
        <w:jc w:val="left"/>
        <w:tblInd w:w="0" w:type="dxa"/>
        <w:tblLayout w:type="fixed"/>
        <w:tblCellMar>
          <w:top w:w="0" w:type="dxa"/>
          <w:left w:w="0" w:type="dxa"/>
          <w:bottom w:w="0" w:type="dxa"/>
          <w:right w:w="0" w:type="dxa"/>
        </w:tblCellMar>
      </w:tblPr>
      <w:tblGrid>
        <w:gridCol w:w="110"/>
        <w:gridCol w:w="6365"/>
      </w:tblGrid>
      <w:tr>
        <w:trPr/>
        <w:tc>
          <w:tcPr>
            <w:tcW w:w="110" w:type="dxa"/>
            <w:tcBorders/>
            <w:vAlign w:val="center"/>
          </w:tcPr>
          <w:p>
            <w:pPr>
              <w:pStyle w:val="TableContents"/>
              <w:bidi w:val="0"/>
              <w:spacing w:before="0" w:after="0"/>
              <w:jc w:val="left"/>
              <w:rPr>
                <w:color w:val="000000"/>
              </w:rPr>
            </w:pPr>
            <w:r>
              <w:rPr>
                <w:color w:val="000000"/>
              </w:rPr>
              <w:t>•</w:t>
            </w:r>
          </w:p>
        </w:tc>
        <w:tc>
          <w:tcPr>
            <w:tcW w:w="6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expectations regarding demand for and market acceptance of our services; </w:t>
            </w:r>
          </w:p>
        </w:tc>
      </w:tr>
    </w:tbl>
    <w:tbl>
      <w:tblPr>
        <w:tblW w:w="3910" w:type="dxa"/>
        <w:jc w:val="left"/>
        <w:tblInd w:w="0" w:type="dxa"/>
        <w:tblLayout w:type="fixed"/>
        <w:tblCellMar>
          <w:top w:w="0" w:type="dxa"/>
          <w:left w:w="0" w:type="dxa"/>
          <w:bottom w:w="0" w:type="dxa"/>
          <w:right w:w="0" w:type="dxa"/>
        </w:tblCellMar>
      </w:tblPr>
      <w:tblGrid>
        <w:gridCol w:w="110"/>
        <w:gridCol w:w="3800"/>
      </w:tblGrid>
      <w:tr>
        <w:trPr/>
        <w:tc>
          <w:tcPr>
            <w:tcW w:w="110" w:type="dxa"/>
            <w:tcBorders/>
            <w:vAlign w:val="center"/>
          </w:tcPr>
          <w:p>
            <w:pPr>
              <w:pStyle w:val="TableContents"/>
              <w:bidi w:val="0"/>
              <w:spacing w:before="0" w:after="0"/>
              <w:jc w:val="left"/>
              <w:rPr>
                <w:color w:val="000000"/>
              </w:rPr>
            </w:pPr>
            <w:r>
              <w:rPr>
                <w:color w:val="000000"/>
              </w:rPr>
              <w:t>•</w:t>
            </w:r>
          </w:p>
        </w:tc>
        <w:tc>
          <w:tcPr>
            <w:tcW w:w="3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expectations regarding our customer base; </w:t>
            </w:r>
          </w:p>
        </w:tc>
      </w:tr>
    </w:tbl>
    <w:tbl>
      <w:tblPr>
        <w:tblW w:w="2590" w:type="dxa"/>
        <w:jc w:val="left"/>
        <w:tblInd w:w="0" w:type="dxa"/>
        <w:tblLayout w:type="fixed"/>
        <w:tblCellMar>
          <w:top w:w="0" w:type="dxa"/>
          <w:left w:w="0" w:type="dxa"/>
          <w:bottom w:w="0" w:type="dxa"/>
          <w:right w:w="0" w:type="dxa"/>
        </w:tblCellMar>
      </w:tblPr>
      <w:tblGrid>
        <w:gridCol w:w="110"/>
        <w:gridCol w:w="2480"/>
      </w:tblGrid>
      <w:tr>
        <w:trPr/>
        <w:tc>
          <w:tcPr>
            <w:tcW w:w="110" w:type="dxa"/>
            <w:tcBorders/>
            <w:vAlign w:val="center"/>
          </w:tcPr>
          <w:p>
            <w:pPr>
              <w:pStyle w:val="TableContents"/>
              <w:bidi w:val="0"/>
              <w:spacing w:before="0" w:after="0"/>
              <w:jc w:val="left"/>
              <w:rPr>
                <w:color w:val="000000"/>
              </w:rPr>
            </w:pPr>
            <w:r>
              <w:rPr>
                <w:color w:val="000000"/>
              </w:rPr>
              <w:t>•</w:t>
            </w:r>
          </w:p>
        </w:tc>
        <w:tc>
          <w:tcPr>
            <w:tcW w:w="2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competition in our industries;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relevant government policies and regulations relating to our industries;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capital requirements and our ability to raise any additional financing which we may require;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protect our intellectual property rights and secure the right to use other intellectual property that we deem to be essential or desirable to the conduct of our business through our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hire and retain qualified management personnel and key employees in order to develop the business of our subsidiaries; </w:t>
            </w:r>
          </w:p>
        </w:tc>
      </w:tr>
    </w:tbl>
    <w:tbl>
      <w:tblPr>
        <w:tblW w:w="3520" w:type="dxa"/>
        <w:jc w:val="left"/>
        <w:tblInd w:w="0" w:type="dxa"/>
        <w:tblLayout w:type="fixed"/>
        <w:tblCellMar>
          <w:top w:w="0" w:type="dxa"/>
          <w:left w:w="0" w:type="dxa"/>
          <w:bottom w:w="0" w:type="dxa"/>
          <w:right w:w="0" w:type="dxa"/>
        </w:tblCellMar>
      </w:tblPr>
      <w:tblGrid>
        <w:gridCol w:w="110"/>
        <w:gridCol w:w="3410"/>
      </w:tblGrid>
      <w:tr>
        <w:trPr/>
        <w:tc>
          <w:tcPr>
            <w:tcW w:w="110" w:type="dxa"/>
            <w:tcBorders/>
            <w:vAlign w:val="center"/>
          </w:tcPr>
          <w:p>
            <w:pPr>
              <w:pStyle w:val="TableContents"/>
              <w:bidi w:val="0"/>
              <w:spacing w:before="0" w:after="0"/>
              <w:jc w:val="left"/>
              <w:rPr>
                <w:color w:val="000000"/>
              </w:rPr>
            </w:pPr>
            <w:r>
              <w:rPr>
                <w:color w:val="000000"/>
              </w:rPr>
              <w:t>•</w:t>
            </w:r>
          </w:p>
        </w:tc>
        <w:tc>
          <w:tcPr>
            <w:tcW w:w="3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overall industry and market performance; </w:t>
            </w:r>
          </w:p>
        </w:tc>
      </w:tr>
    </w:tbl>
    <w:tbl>
      <w:tblPr>
        <w:tblW w:w="8635" w:type="dxa"/>
        <w:jc w:val="left"/>
        <w:tblInd w:w="0" w:type="dxa"/>
        <w:tblLayout w:type="fixed"/>
        <w:tblCellMar>
          <w:top w:w="0" w:type="dxa"/>
          <w:left w:w="0" w:type="dxa"/>
          <w:bottom w:w="0" w:type="dxa"/>
          <w:right w:w="0" w:type="dxa"/>
        </w:tblCellMar>
      </w:tblPr>
      <w:tblGrid>
        <w:gridCol w:w="110"/>
        <w:gridCol w:w="8525"/>
      </w:tblGrid>
      <w:tr>
        <w:trPr/>
        <w:tc>
          <w:tcPr>
            <w:tcW w:w="110" w:type="dxa"/>
            <w:tcBorders/>
            <w:vAlign w:val="center"/>
          </w:tcPr>
          <w:p>
            <w:pPr>
              <w:pStyle w:val="TableContents"/>
              <w:bidi w:val="0"/>
              <w:spacing w:before="0" w:after="0"/>
              <w:jc w:val="left"/>
              <w:rPr>
                <w:color w:val="000000"/>
              </w:rPr>
            </w:pPr>
            <w:r>
              <w:rPr>
                <w:color w:val="000000"/>
              </w:rPr>
              <w:t>•</w:t>
            </w:r>
          </w:p>
        </w:tc>
        <w:tc>
          <w:tcPr>
            <w:tcW w:w="8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assumptions described in this prospectus underlying or relating to any forward-looking statements. </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describe material risks, uncertainties and assumptions that could affect the business of our subsidiaries, and our financial condition and results of operations, under “</w:t>
      </w:r>
      <w:r>
        <w:rPr>
          <w:rFonts w:ascii="Times New Roman;Times;serif" w:hAnsi="Times New Roman;Times;serif"/>
          <w:i/>
          <w:color w:val="000000"/>
          <w:sz w:val="20"/>
          <w:shd w:fill="FFFFFF" w:val="clear"/>
        </w:rPr>
        <w:t>Risk Factors</w:t>
      </w:r>
      <w:r>
        <w:rPr>
          <w:rFonts w:ascii="Times New Roman;Times;serif" w:hAnsi="Times New Roman;Times;serif"/>
          <w:color w:val="000000"/>
          <w:sz w:val="20"/>
          <w:shd w:fill="FFFFFF" w:val="clear"/>
        </w:rPr>
        <w:t xml:space="preserve">.” We base our forward-looking statements on our management’s beliefs and assumptions based on information available to our management at the time the statements are made. We caution you that actual outcomes and results may, and are likely to, differ materially from what is expressed, implied or forecast by our forward-looking statements. Accordingly, you should be careful about relying on any forward-looking statements. Except as required by applicable law, we undertake no duty to update any of these forward-looking statements after the date of this prospectus, whether as a result of new information, future events, changes in assumptions, or otherwise.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Industry Data and Forecasts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This prospectus may contain certain data and information that we obtained from various government and private publications. Statistical data in these publications also include projections based on a number of assumptions. The global business-to-business financial technology in the securities brokerage market and related industries may not grow at the rate projected by market data, or at all. Failure of our industries to grow at the projected rate may have a material and adverse effect on the business of our subsidiaries and the market price of our Ordinary Shares. In addition, the new and rapidly changing nature of the securities brokerage services and financial technology services industries results in significant uncertainties for any projections or estimates relating to the growth prospects or future condition of our industries. Furthermore, if any one or more of the assumptions underlying the market data are later found to be incorrect, actual results may differ from the projections based on these assumptions. You should not place undue reliance on these forward-looking statements.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20</w:t>
      </w:r>
    </w:p>
    <w:p>
      <w:pPr>
        <w:pStyle w:val="HorizontalLine"/>
        <w:bidi w:val="0"/>
        <w:spacing w:before="200" w:after="200"/>
        <w:jc w:val="left"/>
        <w:rPr/>
      </w:pPr>
      <w:r>
        <w:rPr/>
      </w:r>
    </w:p>
    <w:p>
      <w:pPr>
        <w:pStyle w:val="TextBody"/>
        <w:bidi w:val="0"/>
        <w:jc w:val="left"/>
        <w:rPr/>
      </w:pPr>
      <w:hyperlink w:anchor="TOC">
        <w:bookmarkStart w:id="37" w:name="ny20075344x1_posam_106-fls_pg2"/>
        <w:bookmarkEnd w:id="3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38" w:name="tENF"/>
      <w:bookmarkEnd w:id="38"/>
      <w:r>
        <w:rPr>
          <w:rFonts w:ascii="Times New Roman;Times;serif" w:hAnsi="Times New Roman;Times;serif"/>
          <w:b/>
          <w:color w:val="000000"/>
          <w:sz w:val="20"/>
          <w:shd w:fill="FFFFFF" w:val="clear"/>
        </w:rPr>
        <w:t xml:space="preserve">ENFORCEABILITY OF CIVIL LIABILITIES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are incorporated under the laws of the British Virgin Islands (“BVI”) as a BVI business company with limited liability. We are incorporated in the BVI because of certain benefits associated with being a BVI company, such as political and economic stability, an effective judicial system, a favorable tax system, the absence of exchange control or currency restrictions and the availability of professional and support services. However, the BVI has a less developed body of securities laws as compared to the United States and provides protections for investors to a significantly lesser extent. In addition, BVI companies may not have standing to sue before the federal courts of the United States.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Substantially all of our assets are located outside the United States. In addition, a majority of our directors and officers are residents of Hong Kong or Mainland China and a majority of their assets are located outside the United States. As a result, it may be difficult for shareholders to effect service of process within the United States upon us or these persons, or to enforce against us or them judgments obtained in U.S. courts, including judgments predicated upon the civil liability provisions of the securities laws of the United States or any state in the United States.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have appointed Cogency Global Inc. located at 122 East 42nd Street, 18th Floor, New York, NY 10168, as our agent to receive service of process with respect to any action brought against us in the United States District Court for the Southern District of New York under the federal securities laws of the United States or of any State of the United States or any action brought against us in the Supreme Court of the State of New York in the County of New York under the securities laws of the State of New York. </w:t>
      </w:r>
    </w:p>
    <w:p>
      <w:pPr>
        <w:pStyle w:val="TextBody"/>
        <w:bidi w:val="0"/>
        <w:spacing w:before="30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British Virgin Islands </w:t>
      </w:r>
    </w:p>
    <w:p>
      <w:pPr>
        <w:pStyle w:val="TextBody"/>
        <w:bidi w:val="0"/>
        <w:spacing w:before="14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 xml:space="preserve">Enforceability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Carey Olsen Singapore LLP, our legal counsel as to the laws of the BVI, has advised us that there is uncertainty as to whether the courts of the BVI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the BVI against us or our directors or officers predicated upon the securities laws of the United States or any state in the United States.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have been advised by Carey Olsen Singapore LLP that the United States and the BVI do not have a treaty providing for reciprocal recognition and enforcement of judgments of courts of the United States in civil and commercial matters and that a final judgment for the payment of money rendered by any general or state court in the United States based on civil liability, whether or not predicated solely upon the U.S. federal securities laws, would not be automatically enforceable in the BVI. We have also been advised by Carey Olsen Singapore LLP that a final and conclusive judgment obtained in U.S. federal or state courts under which a sum of money is payable as compensatory damages (i.e., not being a sum claimed by a revenue authority for taxes or other charges of a similar nature by a governmental authority, or in respect of a fine or penalty or multiple or punitive damages) may be the subject of an action on a debt in the court of the BVI under the common law doctrine of obligation. </w:t>
      </w:r>
    </w:p>
    <w:p>
      <w:pPr>
        <w:pStyle w:val="TextBody"/>
        <w:bidi w:val="0"/>
        <w:spacing w:before="3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Hong Kong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have been advised by Han Kun Law Offices LLP, our Hong Kong legal advisers, that there is uncertainty as to whether the judgment of United States courts will be directly enforced in Hong Kong, as the United States and Hong Kong do not have a treaty or other arrangements providing for reciprocal recognition and enforcement of judgments of courts of the United States in civil and commercial matters. However, a foreign judgment may be enforced in Hong Kong at common law by bringing an action in a Hong Kong court since the judgment may be regarded as creating a debt between the parties to it, provided that the foreign judgment, among other things, is a final judgment conclusive upon the merits of the claim and is for a liquidated amount in a civil matter and not in respect of taxes, fines, penalties, or similar charges.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bidi w:val="0"/>
        <w:spacing w:before="3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Mainland China</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have been advised by Global Law Office, our PRC legal advisers, that there is uncertainty as to whether the courts of the PRC, would: (1) recognize or enforce judgments of United States courts obtained against the Company or its directors or officers predicated upon the civil liability provisions of the securities laws of the United States or any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21</w:t>
      </w:r>
    </w:p>
    <w:p>
      <w:pPr>
        <w:pStyle w:val="HorizontalLine"/>
        <w:bidi w:val="0"/>
        <w:spacing w:before="200" w:after="200"/>
        <w:jc w:val="left"/>
        <w:rPr/>
      </w:pPr>
      <w:r>
        <w:rPr/>
      </w:r>
    </w:p>
    <w:p>
      <w:pPr>
        <w:pStyle w:val="TextBody"/>
        <w:bidi w:val="0"/>
        <w:jc w:val="left"/>
        <w:rPr/>
      </w:pPr>
      <w:hyperlink w:anchor="TOC">
        <w:bookmarkStart w:id="39" w:name="ny20075344x1_posam_106-fls_pg3"/>
        <w:bookmarkEnd w:id="3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state in the United States; or (2) entertain original actions brought in each respective jurisdiction against the Company or its directors or officers predicated upon the securities laws of the United States or any state in the United States. The recognition and enforcement of foreign judgments are provided for under PRC Civil Procedures Law. PRC courts may recognize and enforce foreign judgments in accordance with the requirements of the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the Company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Laws against the Company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the Ordinary Shares.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22</w:t>
      </w:r>
    </w:p>
    <w:p>
      <w:pPr>
        <w:pStyle w:val="HorizontalLine"/>
        <w:bidi w:val="0"/>
        <w:spacing w:before="200" w:after="200"/>
        <w:jc w:val="left"/>
        <w:rPr/>
      </w:pPr>
      <w:r>
        <w:rPr/>
      </w:r>
    </w:p>
    <w:p>
      <w:pPr>
        <w:pStyle w:val="TextBody"/>
        <w:bidi w:val="0"/>
        <w:jc w:val="left"/>
        <w:rPr/>
      </w:pPr>
      <w:hyperlink w:anchor="TOC">
        <w:bookmarkStart w:id="40" w:name="ny20075344x1_posam_107-use_pg1"/>
        <w:bookmarkEnd w:id="4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41" w:name="tUSE"/>
      <w:bookmarkEnd w:id="41"/>
      <w:r>
        <w:rPr>
          <w:rFonts w:ascii="Times New Roman;Times;serif" w:hAnsi="Times New Roman;Times;serif"/>
          <w:b/>
          <w:color w:val="000000"/>
          <w:sz w:val="20"/>
          <w:shd w:fill="FFFFFF" w:val="clear"/>
        </w:rPr>
        <w:t xml:space="preserve">USE OF PROCEEDS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Based upon an assumed offering price of $2.94 per share, which is equal to the closing trading price of our Ordinary Shares as reported on the Nasdaq Capital Market on June 8, 2026, we estimate that we will receive net proceeds from this offering of approximately $14.25 million, assuming the sales of all of the securities we are offering and after deducting the Placement Agent's commissions, the accountable expense reimbursement, and estimated offering expenses payable by us. However, because this is a best-efforts offering and there is no minimum offering amount required as a condition to the closing of this offering, the actual offering amount, Placement Agent fees, and net proceeds to us are not presently determinable and may be substantially less than the maximum amounts set forth on the cover page of this prospectus. Based on the assumed offering price set forth above, we estimate that our net proceeds from the sale of 75%, 50% or 25% of the securities offered in this offering would be approximately $10.58 million, $6.92 million, or $3.26 million, respectively, after deducting the Placement Agent's commissions, the accountable expense reimbursement, and estimated offering expenses payable by us. </w:t>
      </w:r>
    </w:p>
    <w:p>
      <w:pPr>
        <w:pStyle w:val="TextBody"/>
        <w:bidi w:val="0"/>
        <w:spacing w:before="17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plan to use the net proceeds of this offering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approximately 30% for research and development activities to improve the functionalities of our online trading platform and other applications to be provided by the Company, under the Company’s global AI strategy; for further information on our global AI strategy, please see “Item 4. Information on the Company—B. Business Overview” in our 2025 Annual Report; </w:t>
            </w:r>
          </w:p>
        </w:tc>
      </w:tr>
    </w:tbl>
    <w:tbl>
      <w:tblPr>
        <w:tblW w:w="8635" w:type="dxa"/>
        <w:jc w:val="left"/>
        <w:tblInd w:w="0" w:type="dxa"/>
        <w:tblLayout w:type="fixed"/>
        <w:tblCellMar>
          <w:top w:w="0" w:type="dxa"/>
          <w:left w:w="0" w:type="dxa"/>
          <w:bottom w:w="0" w:type="dxa"/>
          <w:right w:w="0" w:type="dxa"/>
        </w:tblCellMar>
      </w:tblPr>
      <w:tblGrid>
        <w:gridCol w:w="110"/>
        <w:gridCol w:w="8525"/>
      </w:tblGrid>
      <w:tr>
        <w:trPr/>
        <w:tc>
          <w:tcPr>
            <w:tcW w:w="110" w:type="dxa"/>
            <w:tcBorders/>
            <w:vAlign w:val="center"/>
          </w:tcPr>
          <w:p>
            <w:pPr>
              <w:pStyle w:val="TableContents"/>
              <w:bidi w:val="0"/>
              <w:spacing w:before="0" w:after="0"/>
              <w:jc w:val="left"/>
              <w:rPr>
                <w:color w:val="000000"/>
              </w:rPr>
            </w:pPr>
            <w:r>
              <w:rPr>
                <w:color w:val="000000"/>
              </w:rPr>
              <w:t>•</w:t>
            </w:r>
          </w:p>
        </w:tc>
        <w:tc>
          <w:tcPr>
            <w:tcW w:w="85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approximately 30% for expansion of the existing securities brokerage and asset management businesses;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approximately 20% for sales and promotion activities, such as digital marketing campaigns, to promote the Company’s global AI strategy; and </w:t>
            </w:r>
          </w:p>
        </w:tc>
      </w:tr>
    </w:tbl>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approximately 20% for working capital and other general corporate purposes.</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Each $1.00 increase (decrease) in the assumed public offering price of $2.94 per share, would increase (decrease) the net proceeds to us from this offering by approximately $4.98 million, assuming the number of shares offered, as set forth on the cover page of this prospectus, remains the same and after deducting the estimated commissions, the accountable expense reimbursement, and estimated offering expenses and assuming the completion of the maximum offering.</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Based on an assumed offering price of $2.94 per share, an increase of 100,000 in the number of Ordinary Shares we are offering, would increase the net proceeds to us from this offering, after deducting the estimated commissions, the accountable expense reimbursement, and estimated offering expenses payable by us, by approximately $0.27 million. A decrease of 100,000 in the number of Ordinary Shares we are offering, would decrease the net proceeds to us from this offering, after deducting the estimated commissions, the accountable expense reimbursement, and estimated offering expenses payable by us, by approximately $0.27 million.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To the extent that the net proceeds we receive from this offering are not immediately used for the above purposes, we intend to invest our net proceeds in short-term, interest-bearing bank deposits, debt instruments or our margin loan business.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Because there is no minimum offering amount required as a condition to closing this offering, we may sell fewer than all or any of the securities offered hereby, which may significantly reduce the amount of proceeds received by us, and investors in this offering will not receive a refund in the event that we do not sell a number of securities sufficient to pursue the business goals outlined in this prospectus.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23</w:t>
      </w:r>
    </w:p>
    <w:p>
      <w:pPr>
        <w:pStyle w:val="HorizontalLine"/>
        <w:bidi w:val="0"/>
        <w:spacing w:before="200" w:after="200"/>
        <w:jc w:val="left"/>
        <w:rPr/>
      </w:pPr>
      <w:r>
        <w:rPr/>
      </w:r>
    </w:p>
    <w:p>
      <w:pPr>
        <w:pStyle w:val="TextBody"/>
        <w:bidi w:val="0"/>
        <w:jc w:val="left"/>
        <w:rPr/>
      </w:pPr>
      <w:hyperlink w:anchor="TOC">
        <w:bookmarkStart w:id="42" w:name="ny20075344x1_posam_107-use_pg2"/>
        <w:bookmarkEnd w:id="4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43" w:name="tDP"/>
      <w:bookmarkEnd w:id="43"/>
      <w:r>
        <w:rPr>
          <w:rFonts w:ascii="Times New Roman;Times;serif" w:hAnsi="Times New Roman;Times;serif"/>
          <w:b/>
          <w:color w:val="000000"/>
          <w:sz w:val="20"/>
          <w:shd w:fill="FFFFFF" w:val="clear"/>
        </w:rPr>
        <w:t xml:space="preserve">DIVIDEND POLICY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Subject to the BVI Companies Act and our memorandum and articles of association, our board of directors may authorize and declare a dividend to shareholders at such time and of such an amount as they think fit if they are satisfied, on reasonable grounds, that immediately following the dividend the value of our assets will exceed our liabilities and we will be able to pay our debts as they become due. There is no further British Virgin Islands statutory restriction on the amount of funds which may be distributed by us by dividend. Even if we decide to pay dividends, the form, frequency and amount will depend upon our future operations and earnings, capital requirements and surplus, general financial condition, contractual restrictions and other factors that the board of directors may deem relevant.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have never declared or paid any cash dividends on our Ordinary Shares. We do not have any present plan to pay any cash dividends on our Ordinary Shares in the foreseeable future after this offering. We currently intend to retain most, if not all, of our available funds and any future earnings to support operations and to finance the growth and development of our subsidiaries’ business.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are a holding company incorporated in the British Virgin Islands. We may rely on dividends from our subsidiaries in Hong Kong and the Cayman Islands for our cash requirements, including any payment of dividends to our shareholders. According to the Companies Ordinance of Hong Kong, a Hong Kong company may only make a distribution out of profits available for distribution. Under the current practice of the Inland Revenue Department of Hong Kong, no tax is payable in Hong Kong in respect of dividends paid by us. See “</w:t>
      </w:r>
      <w:r>
        <w:rPr>
          <w:rFonts w:ascii="Times New Roman;Times;serif" w:hAnsi="Times New Roman;Times;serif"/>
          <w:i/>
          <w:color w:val="000000"/>
          <w:sz w:val="20"/>
          <w:shd w:fill="FFFFFF" w:val="clear"/>
        </w:rPr>
        <w:t>Item 10. Additional Information — E. Taxation — Hong Kong Enterprise Taxation</w:t>
      </w:r>
      <w:r>
        <w:rPr>
          <w:rFonts w:ascii="Times New Roman;Times;serif" w:hAnsi="Times New Roman;Times;serif"/>
          <w:color w:val="000000"/>
          <w:sz w:val="20"/>
          <w:shd w:fill="FFFFFF" w:val="clear"/>
        </w:rPr>
        <w:t>” in our 2025 Annual Report. Under Cayman Islands law, dividends may be paid only out of profits or share premium. See “</w:t>
      </w:r>
      <w:r>
        <w:rPr>
          <w:rFonts w:ascii="Times New Roman;Times;serif" w:hAnsi="Times New Roman;Times;serif"/>
          <w:i/>
          <w:color w:val="000000"/>
          <w:sz w:val="20"/>
          <w:shd w:fill="FFFFFF" w:val="clear"/>
        </w:rPr>
        <w:t>Item 10. Additional Information — E. Taxation — Cayman Islands Taxation</w:t>
      </w:r>
      <w:r>
        <w:rPr>
          <w:rFonts w:ascii="Times New Roman;Times;serif" w:hAnsi="Times New Roman;Times;serif"/>
          <w:color w:val="000000"/>
          <w:sz w:val="20"/>
          <w:shd w:fill="FFFFFF" w:val="clear"/>
        </w:rPr>
        <w:t>” in our 2025 Annual Report. Any dividends to be paid by us are not subject to taxation in the British Virgin Islands under current laws and regulations. See “</w:t>
      </w:r>
      <w:r>
        <w:rPr>
          <w:rFonts w:ascii="Times New Roman;Times;serif" w:hAnsi="Times New Roman;Times;serif"/>
          <w:i/>
          <w:color w:val="000000"/>
          <w:sz w:val="20"/>
          <w:shd w:fill="FFFFFF" w:val="clear"/>
        </w:rPr>
        <w:t>Item 10. Additional Information — E. Taxation — British Virgin Islands Taxation</w:t>
      </w:r>
      <w:r>
        <w:rPr>
          <w:rFonts w:ascii="Times New Roman;Times;serif" w:hAnsi="Times New Roman;Times;serif"/>
          <w:color w:val="000000"/>
          <w:sz w:val="20"/>
          <w:shd w:fill="FFFFFF" w:val="clear"/>
        </w:rPr>
        <w:t xml:space="preserve">” in our 2025 Annual Report. Cash dividends on our Ordinary Shares, if any, will be paid in U.S. dollars.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24</w:t>
      </w:r>
    </w:p>
    <w:p>
      <w:pPr>
        <w:pStyle w:val="HorizontalLine"/>
        <w:bidi w:val="0"/>
        <w:spacing w:before="200" w:after="200"/>
        <w:jc w:val="left"/>
        <w:rPr/>
      </w:pPr>
      <w:r>
        <w:rPr/>
      </w:r>
    </w:p>
    <w:p>
      <w:pPr>
        <w:pStyle w:val="TextBody"/>
        <w:bidi w:val="0"/>
        <w:jc w:val="left"/>
        <w:rPr/>
      </w:pPr>
      <w:hyperlink w:anchor="TOC">
        <w:bookmarkStart w:id="44" w:name="ny20075344x1_posam_108-capital_pg1"/>
        <w:bookmarkEnd w:id="4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45" w:name="tCAP"/>
      <w:bookmarkEnd w:id="45"/>
      <w:r>
        <w:rPr>
          <w:rFonts w:ascii="Times New Roman;Times;serif" w:hAnsi="Times New Roman;Times;serif"/>
          <w:b/>
          <w:color w:val="000000"/>
          <w:sz w:val="20"/>
          <w:shd w:fill="FFFFFF" w:val="clear"/>
        </w:rPr>
        <w:t xml:space="preserve">CAPITALIZATION </w:t>
      </w:r>
    </w:p>
    <w:p>
      <w:pPr>
        <w:pStyle w:val="TextBody"/>
        <w:bidi w:val="0"/>
        <w:spacing w:before="15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sets forth our capitalization as of September 30, 2025: </w:t>
      </w:r>
    </w:p>
    <w:tbl>
      <w:tblPr>
        <w:tblW w:w="2020" w:type="dxa"/>
        <w:jc w:val="left"/>
        <w:tblInd w:w="0" w:type="dxa"/>
        <w:tblLayout w:type="fixed"/>
        <w:tblCellMar>
          <w:top w:w="0" w:type="dxa"/>
          <w:left w:w="0" w:type="dxa"/>
          <w:bottom w:w="0" w:type="dxa"/>
          <w:right w:w="0" w:type="dxa"/>
        </w:tblCellMar>
      </w:tblPr>
      <w:tblGrid>
        <w:gridCol w:w="110"/>
        <w:gridCol w:w="1910"/>
      </w:tblGrid>
      <w:tr>
        <w:trPr/>
        <w:tc>
          <w:tcPr>
            <w:tcW w:w="110" w:type="dxa"/>
            <w:tcBorders/>
            <w:vAlign w:val="center"/>
          </w:tcPr>
          <w:p>
            <w:pPr>
              <w:pStyle w:val="TableContents"/>
              <w:bidi w:val="0"/>
              <w:spacing w:before="0" w:after="0"/>
              <w:jc w:val="left"/>
              <w:rPr>
                <w:color w:val="000000"/>
              </w:rPr>
            </w:pPr>
            <w:r>
              <w:rPr>
                <w:color w:val="000000"/>
              </w:rPr>
              <w:t>•</w:t>
            </w:r>
          </w:p>
        </w:tc>
        <w:tc>
          <w:tcPr>
            <w:tcW w:w="1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 an actual basis;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a pro forma as adjusted basis to give effect to the issuance and sale of 5,359,719 Ordinary Shares offered hereby, based on an assumed offering price of $2.94 per share, assuming the sale of all of the Ordinary Shares we are offering, and the application of the net proceeds after deducting the Placement Agent commissions, the accountable expense reimbursement, and estimated offering expenses payable by us. </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You should read this capitalization table in conjunction with “Management’s Discussion and Analysis of Financial Condition and Results of Operations” and the consolidated financial statements and the related notes appearing elsewhere in this prospectus. </w:t>
      </w:r>
    </w:p>
    <w:tbl>
      <w:tblPr>
        <w:tblW w:w="10205" w:type="dxa"/>
        <w:jc w:val="left"/>
        <w:tblInd w:w="0" w:type="dxa"/>
        <w:tblLayout w:type="fixed"/>
        <w:tblCellMar>
          <w:top w:w="0" w:type="dxa"/>
          <w:left w:w="0" w:type="dxa"/>
          <w:bottom w:w="0" w:type="dxa"/>
          <w:right w:w="0" w:type="dxa"/>
        </w:tblCellMar>
      </w:tblPr>
      <w:tblGrid>
        <w:gridCol w:w="7148"/>
        <w:gridCol w:w="140"/>
        <w:gridCol w:w="140"/>
        <w:gridCol w:w="1140"/>
        <w:gridCol w:w="140"/>
        <w:gridCol w:w="140"/>
        <w:gridCol w:w="1357"/>
      </w:tblGrid>
      <w:tr>
        <w:trPr/>
        <w:tc>
          <w:tcPr>
            <w:tcW w:w="71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0"/>
              <w:jc w:val="left"/>
              <w:rPr/>
            </w:pPr>
            <w:r>
              <w:rPr/>
              <w:t> </w:t>
            </w:r>
          </w:p>
        </w:tc>
      </w:tr>
      <w:tr>
        <w:trPr/>
        <w:tc>
          <w:tcPr>
            <w:tcW w:w="71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forma as adjusted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this offering </w:t>
            </w:r>
          </w:p>
        </w:tc>
      </w:tr>
      <w:tr>
        <w:trPr/>
        <w:tc>
          <w:tcPr>
            <w:tcW w:w="71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US$ </w:t>
            </w:r>
          </w:p>
        </w:tc>
      </w:tr>
      <w:tr>
        <w:trPr/>
        <w:tc>
          <w:tcPr>
            <w:tcW w:w="714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0"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43" w:right="0" w:hanging="0"/>
              <w:jc w:val="left"/>
              <w:rPr>
                <w:color w:val="000000"/>
              </w:rPr>
            </w:pPr>
            <w:r>
              <w:rPr>
                <w:color w:val="000000"/>
              </w:rPr>
              <w:t>   </w:t>
            </w:r>
          </w:p>
        </w:tc>
      </w:tr>
      <w:tr>
        <w:trPr/>
        <w:tc>
          <w:tcPr>
            <w:tcW w:w="714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Ordinary shares, unlimited shares authorized; no par value; 48,237,472 shares and 43,206,222 shares issued and outstanding as of September 30, 2025 and March 31, 2025,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r>
      <w:tr>
        <w:trPr/>
        <w:tc>
          <w:tcPr>
            <w:tcW w:w="714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45,097,848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​59,344,392</w:t>
            </w:r>
            <w:r>
              <w:rPr>
                <w:rFonts w:ascii="Times New Roman;Times;serif" w:hAnsi="Times New Roman;Times;serif"/>
                <w:color w:val="000000"/>
                <w:position w:val="7"/>
                <w:sz w:val="16"/>
                <w:sz w:val="20"/>
              </w:rPr>
              <w:t>(1)</w:t>
            </w:r>
          </w:p>
        </w:tc>
      </w:tr>
      <w:tr>
        <w:trPr/>
        <w:tc>
          <w:tcPr>
            <w:tcW w:w="71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Retained 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$(17,473,787)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43" w:right="0" w:hanging="0"/>
              <w:jc w:val="left"/>
              <w:rPr>
                <w:rFonts w:ascii="Times New Roman;Times;serif" w:hAnsi="Times New Roman;Times;serif"/>
                <w:color w:val="000000"/>
                <w:sz w:val="20"/>
              </w:rPr>
            </w:pPr>
            <w:r>
              <w:rPr>
                <w:rFonts w:ascii="Times New Roman;Times;serif" w:hAnsi="Times New Roman;Times;serif"/>
                <w:color w:val="000000"/>
                <w:sz w:val="20"/>
              </w:rPr>
              <w:t>$(17,473,787)</w:t>
            </w:r>
          </w:p>
        </w:tc>
      </w:tr>
      <w:tr>
        <w:trPr/>
        <w:tc>
          <w:tcPr>
            <w:tcW w:w="714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67,073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4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67,073 </w:t>
            </w:r>
          </w:p>
        </w:tc>
      </w:tr>
      <w:tr>
        <w:trPr/>
        <w:tc>
          <w:tcPr>
            <w:tcW w:w="71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$27,691,134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7" w:type="dxa"/>
            <w:tcBorders/>
            <w:vAlign w:val="center"/>
          </w:tcPr>
          <w:p>
            <w:pPr>
              <w:pStyle w:val="TableContents"/>
              <w:bidi w:val="0"/>
              <w:spacing w:before="0" w:after="283"/>
              <w:ind w:left="24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$​41,937,678 </w:t>
            </w:r>
          </w:p>
        </w:tc>
      </w:tr>
      <w:tr>
        <w:trPr/>
        <w:tc>
          <w:tcPr>
            <w:tcW w:w="714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capitalization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$27,691,134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283"/>
              <w:ind w:left="24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$​41,937,678</w:t>
            </w:r>
          </w:p>
        </w:tc>
      </w:tr>
      <w:tr>
        <w:trPr/>
        <w:tc>
          <w:tcPr>
            <w:tcW w:w="714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7"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pro forma as-adjusted information discussed above is illustrative only. Our additional paid-in capital, total shareholders’ equity, and total capitalization following the completion of this offering are subject to adjustment based on the actual public offering price and other terms of this offering determined at pricing.</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Because there is no minimum offering amount required as a condition to closing this offering, we may sell fewer than all or none of the securities offered hereby.</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 $1.00 increase (decrease) in the assumed public offering price of $2.94 per share, would increase (decrease) each of additional paid-in capital, total shareholders’ equity, and total capitalization by approximately $4.98 million, assuming the number of Ordinary Shares offered by us, as set forth on the cover page of this prospectus, remains the same and after deducting the Placement Agent commissions, the accountable expense reimbursement, and estimated expenses payable by us.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25</w:t>
      </w:r>
    </w:p>
    <w:p>
      <w:pPr>
        <w:pStyle w:val="HorizontalLine"/>
        <w:bidi w:val="0"/>
        <w:spacing w:before="200" w:after="200"/>
        <w:jc w:val="left"/>
        <w:rPr/>
      </w:pPr>
      <w:r>
        <w:rPr/>
      </w:r>
    </w:p>
    <w:p>
      <w:pPr>
        <w:pStyle w:val="TextBody"/>
        <w:bidi w:val="0"/>
        <w:jc w:val="left"/>
        <w:rPr/>
      </w:pPr>
      <w:hyperlink w:anchor="TOC">
        <w:bookmarkStart w:id="46" w:name="ny20075344x1_posam_108-capital_pg2"/>
        <w:bookmarkEnd w:id="4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47" w:name="tDIL"/>
      <w:bookmarkEnd w:id="47"/>
      <w:r>
        <w:rPr>
          <w:rFonts w:ascii="Times New Roman;Times;serif" w:hAnsi="Times New Roman;Times;serif"/>
          <w:b/>
          <w:color w:val="000000"/>
          <w:sz w:val="20"/>
          <w:shd w:fill="FFFFFF" w:val="clear"/>
        </w:rPr>
        <w:t xml:space="preserve">DILUTION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If you invest in the securities being offered in this offering, your ownership interest will be diluted to the extent of the difference between the public offering price per share of our Ordinary Shares and our pro forma as-adjusted net tangible book value per Ordinary Share immediately after this offering. Dilution results from the fact that the public offering price per Ordinary Share is substantially in excess of the pro forma as-adjusted net tangible book value per Ordinary Share attributable to the existing shareholders for our presently outstanding Ordinary Shares.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net tangible book value as of September 30, 2025, was $0.57 per Ordinary Share. Net tangible book value represents the amount of our total consolidated tangible assets, less the amount of our total consolidated liabilities.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After giving effect to the issuance and sale of 5,359,719 Ordinary Shares offered in this offering at an assumed public offering price of $2.94 per share, after deducting the Placement Agent’s commissions, the accountable expense reimbursement, and the estimated offering expenses payable by us and assuming the sale of all of the Ordinary Shares we are offering, our pro forma as-adjusted net tangible book value as of September 30, 2025 would have been approximately $41,937,678 or $0.78 per outstanding Ordinary Share. This represents an immediate increase in pro forma net tangible book value of $0.21 per ordinary share to the existing shareholders, and an immediate dilution in pro forma net tangible book value of $2.16 per Ordinary Share to investors purchasing Ordinary Shares in this offering. </w:t>
      </w:r>
    </w:p>
    <w:p>
      <w:pPr>
        <w:pStyle w:val="TextBody"/>
        <w:bidi w:val="0"/>
        <w:spacing w:before="17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illustrates such dilution: </w:t>
      </w:r>
    </w:p>
    <w:tbl>
      <w:tblPr>
        <w:tblW w:w="8555" w:type="dxa"/>
        <w:jc w:val="left"/>
        <w:tblInd w:w="0" w:type="dxa"/>
        <w:tblLayout w:type="fixed"/>
        <w:tblCellMar>
          <w:top w:w="0" w:type="dxa"/>
          <w:left w:w="0" w:type="dxa"/>
          <w:bottom w:w="0" w:type="dxa"/>
          <w:right w:w="0" w:type="dxa"/>
        </w:tblCellMar>
      </w:tblPr>
      <w:tblGrid>
        <w:gridCol w:w="7025"/>
        <w:gridCol w:w="140"/>
        <w:gridCol w:w="140"/>
        <w:gridCol w:w="1250"/>
      </w:tblGrid>
      <w:tr>
        <w:trPr/>
        <w:tc>
          <w:tcPr>
            <w:tcW w:w="7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0"/>
              <w:jc w:val="left"/>
              <w:rPr/>
            </w:pPr>
            <w:r>
              <w:rPr/>
              <w:t> </w:t>
            </w:r>
          </w:p>
        </w:tc>
      </w:tr>
      <w:tr>
        <w:trPr/>
        <w:tc>
          <w:tcPr>
            <w:tcW w:w="70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 Share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Post-Offering</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Assumed public offering price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11" w:right="0" w:hanging="0"/>
              <w:jc w:val="left"/>
              <w:rPr>
                <w:rFonts w:ascii="Times New Roman;Times;serif" w:hAnsi="Times New Roman;Times;serif"/>
                <w:color w:val="000000"/>
                <w:sz w:val="20"/>
              </w:rPr>
            </w:pPr>
            <w:r>
              <w:rPr>
                <w:rFonts w:ascii="Times New Roman;Times;serif" w:hAnsi="Times New Roman;Times;serif"/>
                <w:color w:val="000000"/>
                <w:sz w:val="20"/>
              </w:rPr>
              <w:t>$2.94</w:t>
            </w:r>
          </w:p>
        </w:tc>
      </w:tr>
      <w:tr>
        <w:trPr/>
        <w:tc>
          <w:tcPr>
            <w:tcW w:w="7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tangible book value per share as of September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11" w:right="0" w:hanging="0"/>
              <w:jc w:val="left"/>
              <w:rPr>
                <w:rFonts w:ascii="Times New Roman;Times;serif" w:hAnsi="Times New Roman;Times;serif"/>
                <w:color w:val="000000"/>
                <w:sz w:val="20"/>
              </w:rPr>
            </w:pPr>
            <w:r>
              <w:rPr>
                <w:rFonts w:ascii="Times New Roman;Times;serif" w:hAnsi="Times New Roman;Times;serif"/>
                <w:color w:val="000000"/>
                <w:sz w:val="20"/>
              </w:rPr>
              <w:t>$0.57</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Increase in pro forma net tangible book value per share attributable to this offering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11" w:right="0" w:hanging="0"/>
              <w:jc w:val="left"/>
              <w:rPr>
                <w:rFonts w:ascii="Times New Roman;Times;serif" w:hAnsi="Times New Roman;Times;serif"/>
                <w:color w:val="000000"/>
                <w:sz w:val="20"/>
              </w:rPr>
            </w:pPr>
            <w:r>
              <w:rPr>
                <w:rFonts w:ascii="Times New Roman;Times;serif" w:hAnsi="Times New Roman;Times;serif"/>
                <w:color w:val="000000"/>
                <w:sz w:val="20"/>
              </w:rPr>
              <w:t>$0.21</w:t>
            </w:r>
          </w:p>
        </w:tc>
      </w:tr>
      <w:tr>
        <w:trPr/>
        <w:tc>
          <w:tcPr>
            <w:tcW w:w="7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as-adjusted net tangible book value per share immediately after this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50" w:type="dxa"/>
            <w:tcBorders/>
            <w:vAlign w:val="center"/>
          </w:tcPr>
          <w:p>
            <w:pPr>
              <w:pStyle w:val="TableContents"/>
              <w:bidi w:val="0"/>
              <w:spacing w:before="0" w:after="283"/>
              <w:ind w:left="311" w:right="0" w:hanging="0"/>
              <w:jc w:val="left"/>
              <w:rPr>
                <w:rFonts w:ascii="Times New Roman;Times;serif" w:hAnsi="Times New Roman;Times;serif"/>
                <w:color w:val="000000"/>
                <w:sz w:val="20"/>
              </w:rPr>
            </w:pPr>
            <w:r>
              <w:rPr>
                <w:rFonts w:ascii="Times New Roman;Times;serif" w:hAnsi="Times New Roman;Times;serif"/>
                <w:color w:val="000000"/>
                <w:sz w:val="20"/>
              </w:rPr>
              <w:t>$0.78</w:t>
            </w:r>
          </w:p>
        </w:tc>
      </w:tr>
      <w:tr>
        <w:trPr/>
        <w:tc>
          <w:tcPr>
            <w:tcW w:w="7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Dilution per share to new investors participating in this offering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283"/>
              <w:ind w:left="311" w:right="0" w:hanging="0"/>
              <w:jc w:val="left"/>
              <w:rPr>
                <w:rFonts w:ascii="Times New Roman;Times;serif" w:hAnsi="Times New Roman;Times;serif"/>
                <w:color w:val="000000"/>
                <w:sz w:val="20"/>
              </w:rPr>
            </w:pPr>
            <w:r>
              <w:rPr>
                <w:rFonts w:ascii="Times New Roman;Times;serif" w:hAnsi="Times New Roman;Times;serif"/>
                <w:color w:val="000000"/>
                <w:sz w:val="20"/>
              </w:rPr>
              <w:t>$2.16</w:t>
            </w:r>
          </w:p>
        </w:tc>
      </w:tr>
      <w:tr>
        <w:trPr/>
        <w:tc>
          <w:tcPr>
            <w:tcW w:w="7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5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Assumes net proceeds of approximately $14.25 million from this offering of 5,359,719 Ordinary Shares at an assumed public offering price of $2.94 per share, calculated as follows: approximately $15.76 million gross offering proceeds, less estimated Placement Agent's commissions of approximately $1.10 million, the accountable expense reimbursement of approximately $0.10 million, and estimated offering expenses of approximately $0.31 million. </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number of our Ordinary Shares to be outstanding after this offering is based on 48,237,472 Ordinary Shares outstanding, excluding the number of Ordinary Shares issuable upon vesting of our outstanding restricted share units, as of the date of this prospectus.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 $1.00 increase in the assumed public offering price of $2.94 per share, would increase our pro forma as-adjusted net tangible book value as of September 30, 2025 after this offering, assuming the sale of all of the Ordinary Shares we are offering, by approximately $0.10 per Ordinary Share, and would increase dilution to new investors by approximately $0.90 per Ordinary Share, assuming that the number of Ordinary Shares offered by us, as set forth on the cover page of this prospectus, remains the same, and after deducting the estimated Placement Agent’s commissions, the accountable expense reimbursement, and estimated offering expenses payable by us.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 $1.00 decrease in the assumed public offering price of $2.94 per share, would decrease our pro forma as-adjusted net tangible book value as of September 30, 2025 after this offering, assuming the sale of all of the Ordinary Shares we are offering, by approximately $0.09 per Ordinary Share, and would decrease dilution to new investors by approximately $0.91 per Ordinary Share, assuming that the number of Ordinary Shares offered by us, as set forth on the cover page of this prospectus, remains the same, and after deducting the estimated Placement Agent’s commissions, the accountable expense reimbursement, and estimated offering expenses payable by us.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pro forma as-adjusted information as discussed above is illustrative only. Our pro forma net tangible book value following the completion of this offering is subject to adjustment based on the actual public offering price of our Ordinary Shares and other terms of this offering determined at the pricing.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Because there is no minimum offering amount required as a condition to closing this offering, we may sell fewer than all or any of the securities offered hereby.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26</w:t>
      </w:r>
    </w:p>
    <w:p>
      <w:pPr>
        <w:pStyle w:val="HorizontalLine"/>
        <w:bidi w:val="0"/>
        <w:spacing w:before="200" w:after="200"/>
        <w:jc w:val="left"/>
        <w:rPr/>
      </w:pPr>
      <w:r>
        <w:rPr/>
      </w:r>
    </w:p>
    <w:p>
      <w:pPr>
        <w:pStyle w:val="TextBody"/>
        <w:bidi w:val="0"/>
        <w:jc w:val="left"/>
        <w:rPr/>
      </w:pPr>
      <w:hyperlink w:anchor="TOC">
        <w:bookmarkStart w:id="48" w:name="ny20075344x1_posam_109-corporate_pg1"/>
        <w:bookmarkEnd w:id="4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49" w:name="tCO"/>
      <w:bookmarkEnd w:id="49"/>
      <w:r>
        <w:rPr>
          <w:rFonts w:ascii="Times New Roman;Times;serif" w:hAnsi="Times New Roman;Times;serif"/>
          <w:b/>
          <w:color w:val="000000"/>
          <w:sz w:val="20"/>
          <w:shd w:fill="FFFFFF" w:val="clear"/>
        </w:rPr>
        <w:t xml:space="preserve">CORPORATE HISTORY AND STRUCTURE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was incorporated under the laws of the British Virgin Islands with limited liability on June 25, 2010 under the original name of “IAM Group Inc.”, which name was changed to “Waton Financial Limited” on July 5, 2023. The Company holds equity interests in its subsidiaries in Hong Kong, Mainland China, the Cayman Islands and the British Virgin Islands. Investors are purchasing the securities of the Company, a British Virgin Islands holding company, and not in its subsidiaries. This corporate structure involves unique risks to investors. As a holding company, the Company may rely on dividends from its subsidiaries for cash requirements, including any payment of dividends to its shareholders. The subsidiaries’ ability to pay dividends to the Company may be restricted by the debt the subsidiaries incur on their own behalf or the laws and regulations applicable to them. See “</w:t>
      </w:r>
      <w:r>
        <w:rPr>
          <w:rFonts w:ascii="Times New Roman;Times;serif" w:hAnsi="Times New Roman;Times;serif"/>
          <w:i/>
          <w:color w:val="000000"/>
          <w:sz w:val="20"/>
          <w:shd w:fill="FFFFFF" w:val="clear"/>
        </w:rPr>
        <w:t>Item 3. Key Information — D. Risk Factors — Risks Related to Our Ordinary Shares — We rely on dividends and other distributions on equity paid by our subsidiaries to fund any cash and financing requirements we may have, and any limitation on the ability of our subsidiaries to make payments may restrict our ability to finance our cash requirements, service debt or make dividend or other distributions to our shareholders</w:t>
      </w:r>
      <w:r>
        <w:rPr>
          <w:rFonts w:ascii="Times New Roman;Times;serif" w:hAnsi="Times New Roman;Times;serif"/>
          <w:color w:val="000000"/>
          <w:sz w:val="20"/>
          <w:shd w:fill="FFFFFF" w:val="clear"/>
        </w:rPr>
        <w:t xml:space="preserve">” in our 2025 Annual Report.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Corporate Structure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owns 100% of the issued shares of Waton Securities International Limited (“WSI”), a limited liability company incorporated in Hong Kong on April 28, 1989, 100% of the issued shares of Waton Technology International Limited (“WTI”), a limited liability company incorporated in Hong Kong on February 24, 2023, 100% of the issued shares of Waton Sponsor Limited (“WSL”), a BVI business company incorporated in the British Virgin Islands on September 7, 2023 and 100% of the issued shares of Descart Limited (“Descart”), a stock corporation incorporated in the State of Delaware on February 23, 2024.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Waton Securities International Limited owns 100% of the issued shares of Infast Asset Management Co., Limited (“IAM”), a limited liability company incorporated in Hong Kong on October 30, 2012, and 100% of the issued management shares of Waton Investment Global SPC (“WIG SPC”), an exempted segregated portfolio company incorporated in Cayman Islands on May 12, 2022.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Waton Technology International Limited owns 100% of the issued shares of WTF Technology (Hangzhou) Co. Ltd. (“WTF Technology”), a limited liability company incorporated under the PRC laws on February 10, 2026.</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Waton Sponsor Limited owns 100% of the issued shares of Love &amp; Health Limited (“L&amp;H”), an exempted company incorporated in Cayman Islands on October 3, 2023.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the fiscal year ended March 31, 2023, we operated through our wholly owned subsidiary, WSI, to provide securities brokerage services and software licensing and related support services. Since September 2023, WTI has provided software licensing and related support services, in order to focus on the expertise of operations and service areas. In the fiscal year ended March 31, 2024, we operated through our wholly owned subsidiaries, WSI, to provide securities brokerage services and software licensing and related support services, and WTI, to provide software licensing and related support services. Furthermore, WSL, IAM, Descart, WIG SPC, WTF Technology, and L&amp;H are incorporated for the purpose of expanding our service offerings in alignment with our long-term development plan. As of the date of this prospectus, the following subsidiaries have commenced their activities: (i) WSI, through WIG SPC, has set up five segregated portfolios under WIG SPC to develop WSI’s asset management business, among which, two segregated portfolios have been launched; (ii) WSL has engaged in the formation and sponsorship of L&amp;H, being a SPAC, as well as the proposed initial public offering of the securities of L&amp;H; and (iii) Descart commenced hiring U.S.-based employees in April 2026. As of the date of this prospectus, IAM, Descart, WTF Technology, and L&amp;H have minimal operations. WTF Technology is intended to operate as a technical support and R&amp;D center, functioning as a cost center.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order to explore business opportunities and expand the business of the Company, in February 2024, WSI, through equity method investment at the cost of RMB5,500,000 (equivalent to approximately US$770,000), acquired a 55% interest in LeFeng Hainan Private Equity Fund Management Limited (“LeFeng”), a limited liability company established in the PRC, which company is not our subsidiary. In view of the prolonged timeframe and uncertainty for LeFeng to complete the requisite regulatory filings and commence its intended business, on October 10, 2024, WSI and the sole director of LeFeng (the “Purchaser”) entered into a share transfer agreement, pursuant to which WSI agreed to sell and the Purchaser agreed to purchase the 55% equity interest in LeFeng for a consideration of HK$7,000,000 (equivalent to approximately US$900,000), (the “Divestment”). The Divestment was completed during the six months ended September 30, 2025. The Divestment presents an opportunity for WSI to realize its investment and focus its resources on its current business.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27</w:t>
      </w:r>
    </w:p>
    <w:p>
      <w:pPr>
        <w:pStyle w:val="HorizontalLine"/>
        <w:bidi w:val="0"/>
        <w:spacing w:before="200" w:after="200"/>
        <w:jc w:val="left"/>
        <w:rPr/>
      </w:pPr>
      <w:r>
        <w:rPr/>
      </w:r>
    </w:p>
    <w:p>
      <w:pPr>
        <w:pStyle w:val="TextBody"/>
        <w:bidi w:val="0"/>
        <w:jc w:val="left"/>
        <w:rPr/>
      </w:pPr>
      <w:hyperlink w:anchor="TOC">
        <w:bookmarkStart w:id="50" w:name="ny20075344x1_posam_109-corporate_pg2"/>
        <w:bookmarkEnd w:id="5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February 2025, WSI, through equity method investment at the cost of US$20,000, acquired a 40% interest in MW Technology Development Limited, a BVI business company, which is a joint venture established with MOG Digitech Holdings Limited (“MOG Digitech”) to collaboratively develop a trading desk for digital currency financial securities. MOG Digitech is an investment holding company whose shares are listed on the Main Board of the Hong Kong Stock Exchange (with stock code: 1942). MOG Digitech and its subsidiaries are principally engaged in digital payment solutions-related business, sales of optical products, and franchise and license management. As of the date of this prospectus, payment for the investment has not been made, and MW Technology does not have any material operations.</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May 2026, the Company’s wholly-owned subsidiary, WTF Asia Holding Limited, subscribed for 500,000 newly issued shares in CTFEX Holding Pte. Limited, a company incorporated in Singapore, at a total price of SGD 500,000, as a result of which, WTF Asia Holding Limited holds 500,000 shares, representing approximately 42.4% of the share capital of CTFEX Holding Pte. Limited. In addition, WTF Holding Group Limited, a company 100% owned by Mr. Zhou Kai, our Chairman of the Board, Director, Chief Technology Officer and shareholder who owns more than 5% of the number of issued and outstanding Ordinary Shares of our Company, holds 72,000 shares in CTFEX Holding Pte. Limited, representing approximately 6.1% of its share capital. The Company appointed Mr. Zhou Kai to be one of the two directors of CTFEX Holding Pte. Limited. CTFEX Holding Pte. Limited, together with its subsidiary in Singapore, are intended to operate as an exchange and approved clearing house specializing in tokenized capital markets products in Singapore, subject to the regulatory review and approval by the authorities in Singapore, and has not yet commenced any regulated operations as of the date of this prospectus.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chart illustrates our corporate structure, including our principal operating subsidiaries, as of the date of this prospectus, without considering the effect of this offering. The percentages shown on the following chart represent percentages of equity ownership: </w:t>
      </w:r>
    </w:p>
    <w:p>
      <w:pPr>
        <w:pStyle w:val="TextBody"/>
        <w:bidi w:val="0"/>
        <w:spacing w:before="305" w:after="283"/>
        <w:jc w:val="center"/>
        <w:rPr>
          <w:color w:val="000000"/>
          <w:shd w:fill="FFFFFF" w:val="clear"/>
        </w:rPr>
      </w:pPr>
      <w:r>
        <w:rPr>
          <w:color w:val="000000"/>
          <w:shd w:fill="FFFFFF" w:val="clear"/>
        </w:rPr>
        <w:drawing>
          <wp:inline distT="0" distB="0" distL="0" distR="0">
            <wp:extent cx="5591175" cy="3495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591175" cy="34956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28</w:t>
      </w:r>
    </w:p>
    <w:p>
      <w:pPr>
        <w:pStyle w:val="HorizontalLine"/>
        <w:bidi w:val="0"/>
        <w:spacing w:before="200" w:after="200"/>
        <w:jc w:val="left"/>
        <w:rPr/>
      </w:pPr>
      <w:r>
        <w:rPr/>
      </w:r>
    </w:p>
    <w:p>
      <w:pPr>
        <w:pStyle w:val="TextBody"/>
        <w:bidi w:val="0"/>
        <w:jc w:val="left"/>
        <w:rPr/>
      </w:pPr>
      <w:hyperlink w:anchor="TOC">
        <w:bookmarkStart w:id="51" w:name="ny20075344x1_posam_109-corporate_pg3"/>
        <w:bookmarkEnd w:id="51"/>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2007"/>
        <w:gridCol w:w="140"/>
        <w:gridCol w:w="140"/>
        <w:gridCol w:w="1909"/>
        <w:gridCol w:w="140"/>
        <w:gridCol w:w="140"/>
        <w:gridCol w:w="1848"/>
        <w:gridCol w:w="140"/>
        <w:gridCol w:w="140"/>
        <w:gridCol w:w="3601"/>
      </w:tblGrid>
      <w:tr>
        <w:trPr/>
        <w:tc>
          <w:tcPr>
            <w:tcW w:w="2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01" w:type="dxa"/>
            <w:tcBorders/>
            <w:vAlign w:val="center"/>
          </w:tcPr>
          <w:p>
            <w:pPr>
              <w:pStyle w:val="TableContents"/>
              <w:bidi w:val="0"/>
              <w:spacing w:before="0" w:after="0"/>
              <w:jc w:val="left"/>
              <w:rPr/>
            </w:pPr>
            <w:r>
              <w:rPr/>
              <w:t> </w:t>
            </w:r>
          </w:p>
        </w:tc>
      </w:tr>
      <w:tr>
        <w:trPr/>
        <w:tc>
          <w:tcPr>
            <w:tcW w:w="200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Background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Ownership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Principal activities </w:t>
            </w:r>
          </w:p>
        </w:tc>
      </w:tr>
      <w:tr>
        <w:trPr/>
        <w:tc>
          <w:tcPr>
            <w:tcW w:w="20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Waton Financial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9"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BVI company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Incorporated on June 25, 2010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Investment holding </w:t>
            </w:r>
          </w:p>
        </w:tc>
      </w:tr>
      <w:tr>
        <w:trPr/>
        <w:tc>
          <w:tcPr>
            <w:tcW w:w="20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Waton Securities International 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9"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Hong Kong company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Incorporated on April 28, 1989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 owned by Waton Financial 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Provision of securities brokerage services and software licensing and related support services </w:t>
            </w:r>
          </w:p>
        </w:tc>
      </w:tr>
      <w:tr>
        <w:trPr/>
        <w:tc>
          <w:tcPr>
            <w:tcW w:w="20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Waton Technology International 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9"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Hong Kong company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Incorporated on February 24,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 owned by Waton Financial 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Provision of software licensing and related support services </w:t>
            </w:r>
          </w:p>
        </w:tc>
      </w:tr>
      <w:tr>
        <w:trPr/>
        <w:tc>
          <w:tcPr>
            <w:tcW w:w="20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Waton Sponsor 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9"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BVI company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Incorporated on September 7,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 owned by Waton Financial 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Sponsor of a special purpose acquisition company </w:t>
            </w:r>
          </w:p>
        </w:tc>
      </w:tr>
      <w:tr>
        <w:trPr/>
        <w:tc>
          <w:tcPr>
            <w:tcW w:w="20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Descart 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9"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Delaware stock corporation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Incorporated on February 23,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 owned by Waton Financial 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 holding </w:t>
            </w:r>
          </w:p>
        </w:tc>
      </w:tr>
      <w:tr>
        <w:trPr/>
        <w:tc>
          <w:tcPr>
            <w:tcW w:w="20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Love &amp; Health 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9"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Cayman Islands exempted company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Incorporated on October 3,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 owned by WSL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Blank cheque special acquisition company</w:t>
            </w:r>
          </w:p>
        </w:tc>
      </w:tr>
      <w:tr>
        <w:trPr/>
        <w:tc>
          <w:tcPr>
            <w:tcW w:w="2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01"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Completion of the IPO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April 2, 2025, the Company closed its initial public offering (“IPO”) of 4,375,000 Ordinary Shares and the sale of an additional 656,250 Ordinary Shares (the “Over-allotment”), pursuant to the full exercise of the over-allotment option granted to the underwriters in connection with the IPO. The offering price was $4.00 per share. The aggregate gross proceeds of the IPO and over-allotment were $20,125,000 before deducting underwriting discounts and offering expenses. The Ordinary Shares of the Company were approved for listing on the Nasdaq Capital Market and commenced trading under the ticker symbol “WTF” on April 1, 2025.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further information on our corporate history and structure, please read “</w:t>
      </w:r>
      <w:r>
        <w:rPr>
          <w:rFonts w:ascii="Times New Roman;Times;serif" w:hAnsi="Times New Roman;Times;serif"/>
          <w:i/>
          <w:color w:val="000000"/>
          <w:sz w:val="20"/>
          <w:shd w:fill="FFFFFF" w:val="clear"/>
        </w:rPr>
        <w:t>Item 4. Information on The Company — A. History and Development of the Company</w:t>
      </w:r>
      <w:r>
        <w:rPr>
          <w:rFonts w:ascii="Times New Roman;Times;serif" w:hAnsi="Times New Roman;Times;serif"/>
          <w:color w:val="000000"/>
          <w:sz w:val="20"/>
          <w:shd w:fill="FFFFFF" w:val="clear"/>
        </w:rPr>
        <w:t xml:space="preserve">” in our 2025 Annual Report.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29</w:t>
      </w:r>
    </w:p>
    <w:p>
      <w:pPr>
        <w:pStyle w:val="HorizontalLine"/>
        <w:bidi w:val="0"/>
        <w:spacing w:before="200" w:after="200"/>
        <w:jc w:val="left"/>
        <w:rPr/>
      </w:pPr>
      <w:r>
        <w:rPr/>
      </w:r>
    </w:p>
    <w:p>
      <w:pPr>
        <w:pStyle w:val="TextBody"/>
        <w:bidi w:val="0"/>
        <w:jc w:val="left"/>
        <w:rPr/>
      </w:pPr>
      <w:hyperlink w:anchor="TOC">
        <w:bookmarkStart w:id="52" w:name="ny20075344x1_posam_110-mda_pg1"/>
        <w:bookmarkEnd w:id="5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53" w:name="tMDA"/>
      <w:bookmarkEnd w:id="53"/>
      <w:r>
        <w:rPr>
          <w:rFonts w:ascii="Times New Roman;Times;serif" w:hAnsi="Times New Roman;Times;serif"/>
          <w:b/>
          <w:color w:val="000000"/>
          <w:sz w:val="20"/>
          <w:shd w:fill="FFFFFF" w:val="clear"/>
        </w:rPr>
        <w:t>MANAGEMENT’S DISCUSSION AND ANALYSIS OF FINANCIAL CONDITION</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AND RESULTS OF OPERATIONS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our management’s discussion and analysis of financial condition and results of operations for the six months ended September 30, 2025, and the years ended March 31, 2025, 2024 and 2023, please read “</w:t>
      </w:r>
      <w:r>
        <w:rPr>
          <w:rFonts w:ascii="Times New Roman;Times;serif" w:hAnsi="Times New Roman;Times;serif"/>
          <w:i/>
          <w:color w:val="000000"/>
          <w:sz w:val="20"/>
          <w:shd w:fill="FFFFFF" w:val="clear"/>
        </w:rPr>
        <w:t>Item 5. Operating and Financial Review and Prospects</w:t>
      </w:r>
      <w:r>
        <w:rPr>
          <w:rFonts w:ascii="Times New Roman;Times;serif" w:hAnsi="Times New Roman;Times;serif"/>
          <w:color w:val="000000"/>
          <w:sz w:val="20"/>
          <w:shd w:fill="FFFFFF" w:val="clear"/>
        </w:rPr>
        <w:t xml:space="preserve">” in our 2025 Annual Report and Report on Form 6-K filed on January 29, 2026, which are incorporated by reference into this prospectus. </w:t>
      </w:r>
    </w:p>
    <w:p>
      <w:pPr>
        <w:pStyle w:val="TextBody"/>
        <w:bidi w:val="0"/>
        <w:spacing w:before="410" w:after="283"/>
        <w:jc w:val="center"/>
        <w:rPr>
          <w:rFonts w:ascii="Times New Roman;Times;serif" w:hAnsi="Times New Roman;Times;serif"/>
          <w:b/>
          <w:color w:val="000000"/>
          <w:sz w:val="20"/>
          <w:shd w:fill="FFFFFF" w:val="clear"/>
        </w:rPr>
      </w:pPr>
      <w:bookmarkStart w:id="54" w:name="tBUS"/>
      <w:bookmarkEnd w:id="54"/>
      <w:r>
        <w:rPr>
          <w:rFonts w:ascii="Times New Roman;Times;serif" w:hAnsi="Times New Roman;Times;serif"/>
          <w:b/>
          <w:color w:val="000000"/>
          <w:sz w:val="20"/>
          <w:shd w:fill="FFFFFF" w:val="clear"/>
        </w:rPr>
        <w:t xml:space="preserve">BUSINESS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a description of our business, please read “</w:t>
      </w:r>
      <w:r>
        <w:rPr>
          <w:rFonts w:ascii="Times New Roman;Times;serif" w:hAnsi="Times New Roman;Times;serif"/>
          <w:i/>
          <w:color w:val="000000"/>
          <w:sz w:val="20"/>
          <w:shd w:fill="FFFFFF" w:val="clear"/>
        </w:rPr>
        <w:t>Item 4. Information on the Company — B. Business Overview</w:t>
      </w:r>
      <w:r>
        <w:rPr>
          <w:rFonts w:ascii="Times New Roman;Times;serif" w:hAnsi="Times New Roman;Times;serif"/>
          <w:color w:val="000000"/>
          <w:sz w:val="20"/>
          <w:shd w:fill="FFFFFF" w:val="clear"/>
        </w:rPr>
        <w:t xml:space="preserve">” in our 2025 Annual Report, which is incorporated by reference into this prospectus. Except as otherwise set forth in this prospectus, there have been no material changes or developments to our business since the filing of our 2025 Annual Report.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Since the filing of our 2025 Annual Report, WSI launched Z Navigation Option Hedge Fund S.P., a segregated portfolio of WIG SPC, which targeted professional investors. WSI was appointed as the investment manager and Viberation Asset Management Limited was appointed a co-investment manager of Z Navigation Option Hedge Fund S.P. In addition, WSI and WGI were appointed as custodians to Z Navigation Option Hedge Fund S.P. In February 2026, Z Navigation Option Hedge Fund S.P. entered into the liquidation process, which process has not been completed as of the date of this prospectus. </w:t>
      </w:r>
    </w:p>
    <w:tbl>
      <w:tblPr>
        <w:tblW w:w="10205" w:type="dxa"/>
        <w:jc w:val="left"/>
        <w:tblInd w:w="0" w:type="dxa"/>
        <w:tblLayout w:type="fixed"/>
        <w:tblCellMar>
          <w:top w:w="0" w:type="dxa"/>
          <w:left w:w="0" w:type="dxa"/>
          <w:bottom w:w="0" w:type="dxa"/>
          <w:right w:w="0" w:type="dxa"/>
        </w:tblCellMar>
      </w:tblPr>
      <w:tblGrid>
        <w:gridCol w:w="1262"/>
        <w:gridCol w:w="140"/>
        <w:gridCol w:w="140"/>
        <w:gridCol w:w="8663"/>
      </w:tblGrid>
      <w:tr>
        <w:trPr/>
        <w:tc>
          <w:tcPr>
            <w:tcW w:w="12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63" w:type="dxa"/>
            <w:tcBorders/>
            <w:vAlign w:val="center"/>
          </w:tcPr>
          <w:p>
            <w:pPr>
              <w:pStyle w:val="TableContents"/>
              <w:bidi w:val="0"/>
              <w:spacing w:before="0" w:after="0"/>
              <w:jc w:val="left"/>
              <w:rPr/>
            </w:pPr>
            <w:r>
              <w:rPr/>
              <w:t> </w:t>
            </w:r>
          </w:p>
        </w:tc>
      </w:tr>
      <w:tr>
        <w:trPr/>
        <w:tc>
          <w:tcPr>
            <w:tcW w:w="12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63"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Performance fee: equal to the relevant percentage of the realized and unrealized appreciation in the net asset value in respect of each series of Class V shares and Class VI shares during a calculation period above the current peak net asset value per the relevant series of the relevant class of shares. WSI is entitled to waive the performance fee at its discretion. No performance fee in respect of Class IV shares (senior class) will be charged; and </w:t>
            </w:r>
          </w:p>
          <w:p>
            <w:pPr>
              <w:pStyle w:val="TableContents"/>
              <w:bidi w:val="0"/>
              <w:spacing w:before="0" w:after="283"/>
              <w:ind w:left="2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Subscription fee: 0.5% of the subscription amount of portfolio shares of Z Navigation Option Hedge Fund S.P. subscribed. The directors of WIG SPC may waive the subscription fee at their discretion. </w:t>
            </w:r>
          </w:p>
        </w:tc>
      </w:tr>
      <w:tr>
        <w:trPr/>
        <w:tc>
          <w:tcPr>
            <w:tcW w:w="12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63" w:type="dxa"/>
            <w:tcBorders/>
            <w:vAlign w:val="center"/>
          </w:tcPr>
          <w:p>
            <w:pPr>
              <w:pStyle w:val="TableContents"/>
              <w:bidi w:val="0"/>
              <w:spacing w:before="0" w:after="0"/>
              <w:jc w:val="left"/>
              <w:rPr>
                <w:color w:val="000000"/>
              </w:rPr>
            </w:pPr>
            <w:r>
              <w:rPr>
                <w:color w:val="000000"/>
              </w:rPr>
              <w:t> </w:t>
            </w:r>
          </w:p>
        </w:tc>
      </w:tr>
      <w:tr>
        <w:trPr/>
        <w:tc>
          <w:tcPr>
            <w:tcW w:w="12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Fees payable to WSI as custodian: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63" w:type="dxa"/>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Nil. Custodian fees will not exceed commercial rates.</w:t>
            </w:r>
          </w:p>
        </w:tc>
      </w:tr>
      <w:tr>
        <w:trPr/>
        <w:tc>
          <w:tcPr>
            <w:tcW w:w="12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63"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Customers</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WGI was a significant customer in our recent financial reporting periods, however, effective October 2025, WGI is no longer our customer. See “</w:t>
      </w:r>
      <w:r>
        <w:rPr>
          <w:rFonts w:ascii="Times New Roman;Times;serif" w:hAnsi="Times New Roman;Times;serif"/>
          <w:i/>
          <w:color w:val="000000"/>
          <w:sz w:val="20"/>
          <w:shd w:fill="FFFFFF" w:val="clear"/>
        </w:rPr>
        <w:t>Related Party Transactions</w:t>
      </w:r>
      <w:r>
        <w:rPr>
          <w:rFonts w:ascii="Times New Roman;Times;serif" w:hAnsi="Times New Roman;Times;serif"/>
          <w:color w:val="000000"/>
          <w:sz w:val="20"/>
          <w:shd w:fill="FFFFFF" w:val="clear"/>
        </w:rPr>
        <w:t>” and “</w:t>
      </w:r>
      <w:r>
        <w:rPr>
          <w:rFonts w:ascii="Times New Roman;Times;serif" w:hAnsi="Times New Roman;Times;serif"/>
          <w:i/>
          <w:color w:val="000000"/>
          <w:sz w:val="20"/>
          <w:shd w:fill="FFFFFF" w:val="clear"/>
        </w:rPr>
        <w:t>Risk Factors — Risks Related to Our Subsidiaries’ Business and Industry — We have historically derived a substantial portion of revenue from WGI, a single related party customer. The recent loss of WGI as a substantial customer will have an adverse impact on our revenues in the near term if it is not replaced with one or more customers that generate the same volume of revenues, which could materially and adversely affect our financial results</w:t>
      </w:r>
      <w:r>
        <w:rPr>
          <w:rFonts w:ascii="Times New Roman;Times;serif" w:hAnsi="Times New Roman;Times;serif"/>
          <w:color w:val="000000"/>
          <w:sz w:val="20"/>
          <w:shd w:fill="FFFFFF" w:val="clear"/>
        </w:rPr>
        <w:t>.”</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PRC Subsidiary</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WTF Technology is a limited liability company 100% owned by WTI and incorporated under the PRC laws on February 10, 2026. WTF Technology is intended to operate as a technical support and R&amp;D center, functioning as a cost center. See “</w:t>
      </w:r>
      <w:r>
        <w:rPr>
          <w:rFonts w:ascii="Times New Roman;Times;serif" w:hAnsi="Times New Roman;Times;serif"/>
          <w:i/>
          <w:color w:val="000000"/>
          <w:sz w:val="20"/>
          <w:shd w:fill="FFFFFF" w:val="clear"/>
        </w:rPr>
        <w:t>Risk Factors — Risks Related to Doing Business in the Jurisdiction in which our Subsidiaries Operate — We have recently established a subsidiary in Mainland China, which subjects us to additional legal, regulatory, operational and geopolitical risks</w:t>
      </w:r>
      <w:r>
        <w:rPr>
          <w:rFonts w:ascii="Times New Roman;Times;serif" w:hAnsi="Times New Roman;Times;serif"/>
          <w:color w:val="000000"/>
          <w:sz w:val="20"/>
          <w:shd w:fill="FFFFFF" w:val="clear"/>
        </w:rPr>
        <w:t>.”</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30</w:t>
      </w:r>
    </w:p>
    <w:p>
      <w:pPr>
        <w:pStyle w:val="HorizontalLine"/>
        <w:bidi w:val="0"/>
        <w:spacing w:before="200" w:after="200"/>
        <w:jc w:val="left"/>
        <w:rPr/>
      </w:pPr>
      <w:r>
        <w:rPr/>
      </w:r>
    </w:p>
    <w:p>
      <w:pPr>
        <w:pStyle w:val="TextBody"/>
        <w:bidi w:val="0"/>
        <w:jc w:val="left"/>
        <w:rPr/>
      </w:pPr>
      <w:hyperlink w:anchor="TOC">
        <w:bookmarkStart w:id="55" w:name="ny20075344x1_posam_110-mda_pg2"/>
        <w:bookmarkEnd w:id="5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56" w:name="tREG"/>
      <w:bookmarkEnd w:id="56"/>
      <w:r>
        <w:rPr>
          <w:rFonts w:ascii="Times New Roman;Times;serif" w:hAnsi="Times New Roman;Times;serif"/>
          <w:b/>
          <w:color w:val="000000"/>
          <w:sz w:val="20"/>
          <w:shd w:fill="FFFFFF" w:val="clear"/>
        </w:rPr>
        <w:t xml:space="preserve">REGULATIONS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major regulations that impact our business, please read “</w:t>
      </w:r>
      <w:r>
        <w:rPr>
          <w:rFonts w:ascii="Times New Roman;Times;serif" w:hAnsi="Times New Roman;Times;serif"/>
          <w:i/>
          <w:color w:val="000000"/>
          <w:sz w:val="20"/>
          <w:shd w:fill="FFFFFF" w:val="clear"/>
        </w:rPr>
        <w:t>Item 4. Information on the Company — B. Business Overview — Regulations</w:t>
      </w:r>
      <w:r>
        <w:rPr>
          <w:rFonts w:ascii="Times New Roman;Times;serif" w:hAnsi="Times New Roman;Times;serif"/>
          <w:color w:val="000000"/>
          <w:sz w:val="20"/>
          <w:shd w:fill="FFFFFF" w:val="clear"/>
        </w:rPr>
        <w:t>” in our 2025 Annual Report, which is incorporated by reference into this prospectus. There have been no material changes to major regulations that impact our business since the filing of our 2025 Annual Report, except as otherwise set forth in this prospectus.</w:t>
      </w:r>
    </w:p>
    <w:p>
      <w:pPr>
        <w:pStyle w:val="TextBody"/>
        <w:bidi w:val="0"/>
        <w:spacing w:before="30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Regulations Related to our Business Operation in the PRC</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We operate part of our business in the PRC under a legal regime mainly consisting of the National People’s Congress, which is the country’s highest legislative body, the State Council, which is the highest authority of the executive branch of the PRC central government, and several ministries and agencies under its authority, including among others, the SAFE, the MOFCOM, the National Development and Reform Commission (“NDRC”), the State Administration for Market Regulation (“SAMR”) and their respective authorized local branches.</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This section sets forth a summary of the most significant rules and regulations that affect our business activities in the PRC.</w:t>
      </w:r>
    </w:p>
    <w:p>
      <w:pPr>
        <w:pStyle w:val="TextBody"/>
        <w:bidi w:val="0"/>
        <w:spacing w:before="30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Regulation Relating to Foreign Investment</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All limited liability companies incorporated and operating in the PRC are governed by the Company Law of the People’s Republic of China, or the Company Law, which was promulgated by the SCNPC, most recently amended in 2023 and took into effect on July 1, 2024. Foreign invested companies must also comply with the Company Law, with exceptions as specified in other laws and regulations relating to foreign investment.</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Foreign Investment Law of the People’s Republic of China (the “Foreign Investment Law”) was adopted by the second meeting of the 13th National People’s Congress on March 15, 2019, which became effective on January 1, 2020. On December 26, 2019, the State Council promulgated Regulation for Implementing the Foreign Investment Law of the People’s Republic of China, which became effective on January 1, 2020.</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Foreign Investment Law and its implementing rules apply the administrative system of pre-establishment national treatment plus negative list to foreign investment and clarify the state shall develop a catalogue of industries for encouraging foreign investment to specify the industries, fields, and regions where foreign investors are encouraged and directed to invest.</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With respect to the establishment and operation of foreign-invested enterprises, or FIEs, the MOFCOM and NDRC, promulgated the Special Administrative Measures for the Access of Foreign Investment (Negative List) (2024Version) (the “Negative List”) on September 6, 2024, which became effective on November 11, 2024. The Negative List sets out the special administrative measures for access of foreign investment such as the requirements in relation to shareholding and senior management. Fields that were not included in the Negative List shall be regulated according to the principle of equal treatment of domestic and foreign investments. The Negative List is subject to review and update by the PRC government from time to time. None of our businesses are in the Negative List. Therefore, the PRC subsidiary is not subject to restrictions imposed by the foreign investment laws and regulations of the PRC. Regulations on Offshore Parent Holding Companies’ Direct Investment in and Loans to Their PRC Subsidiary</w:t>
      </w:r>
    </w:p>
    <w:p>
      <w:pPr>
        <w:pStyle w:val="TextBody"/>
        <w:bidi w:val="0"/>
        <w:spacing w:before="30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Regulations on Offshore Parent Holding Companies’ Direct Investment in and Loans to Their PRC Subsidiary</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An offshore company may invest equity in a PRC company. Such equity investment is subject to a series of laws and regulations generally applicable to any foreign-invested enterprise in China,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registered capital and total investment amount shall both be registered with SAMR and SAFE. Shareholder loans made by offshore parent holding companies to their PRC Entities are regarded as foreign debts in China for regulatory purpose, which is subject to a number of PRC laws and regulations, including among others,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Entities shall be registered with SAFE.</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31</w:t>
      </w:r>
    </w:p>
    <w:p>
      <w:pPr>
        <w:pStyle w:val="HorizontalLine"/>
        <w:bidi w:val="0"/>
        <w:spacing w:before="200" w:after="200"/>
        <w:jc w:val="left"/>
        <w:rPr/>
      </w:pPr>
      <w:r>
        <w:rPr/>
      </w:r>
    </w:p>
    <w:p>
      <w:pPr>
        <w:pStyle w:val="TextBody"/>
        <w:bidi w:val="0"/>
        <w:jc w:val="left"/>
        <w:rPr/>
      </w:pPr>
      <w:hyperlink w:anchor="TOC">
        <w:bookmarkStart w:id="57" w:name="ny20075344x1_posam_110-mda_pg3"/>
        <w:bookmarkEnd w:id="5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Regulations Relating to Foreign Exchange</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Foreign Exchange Administration Regulations, as amended in August 2008, the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the PRC, unless SAFE’s prior approval is obtained and prior registration with SAFE is made. In May 2013, SAFE promulgated the Circular of the SAFE on Printing and Distributing the Administrative Provision on Foreign Exchange in Domestic Direct Investment by Foreign Investors and Relevant Supporting Documents (the “SAFE Circular 21”) which provides for and simplifies the operational steps and regulations on foreign exchange matters related to direct investment by foreign investors, including foreign exchange registration, account opening and use, receipt and payment of funds, and settlement and sales of foreign exchange. The relevant regulations under SAFE Circular 21 were further amended and simplified by the Circular of the State Administration of Foreign Exchange on Matters Concerning Deepening the Reform of Foreign Exchange Administration for Cross Border Investment and Financing announced by SAFE (effective on September 12, 2025).</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Circular on Relevant Issues concerning Foreign Exchange Administration of Overseas Investment and Financing and Return Investments Conducted by Domestic Residents through Overseas Special Purpose Vehicles, or the SAFE Circular 37, promulgated by SAFE and which became effective on July 4, 2014, (a) a PRC resident shall register with the local SAFE branch before he or she contributes assets or equity interests in an overseas special purpose vehicle, or Overseas SPV, that is directly established or controlled by the PRC resident for the purpose of conducting investment or financing; and (b) following the initial registration, the PRC resident is also required to register with the local SAFE branch for any major change, in respect of the Overseas SPV, including, among other things, a change of the Overseas SPV’s PRC resident shareholder(s), the name of the Overseas SPV, term of operation, or any increase or reduction of the Overseas SPV’s registered capital, share transfer or swap, and merger or division. Pursuant to SAFE Circular 37, failure to comply with these registration procedures may result in penalties.</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Pursuant to the Circular of the State Administration of Foreign Exchange on Further Simplifying and Improving the Direct Investment-related Foreign Exchange Administration Policies (the “SAFE Notice 13”), which was promulgated on February 13, 2015 and with effect from June 1, 2015, the foreign exchange registration under domestic direct investment and the foreign exchange registration under overseas direct investment is directly reviewed and handled by banks in accordance with the SAFE Notice 13, and the SAFE and its branches shall perform indirect regulation over the foreign exchange registration via banks.</w:t>
      </w:r>
    </w:p>
    <w:p>
      <w:pPr>
        <w:pStyle w:val="TextBody"/>
        <w:bidi w:val="0"/>
        <w:spacing w:before="25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Regulations Relating to Illegal Securities Trading</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May 9, 2026, the CSRC and seven other PRC authorities jointly issued the “Implementation Plan for Comprehensive Rectification of Illegal Cross-Border Securities, Futures, and Fund Operations,” or the “Implementation Plan”. According to the Implementation Plan, the targets of the rectification include: (1) overseas institutions engaged in illegal cross-border securities, futures, and fund business activities; (2) domestic affiliates or partners assisting foreign institutions in illegal cross-border operations, as well as domestic illegal intermediaries that solicit and guide domestic investors to open securities and futures accounts for profit; and (3) internet platforms such as websites and mobile applications (APPs) that unlawfully publish marketing information or provide trading services within China, as well as domestic online self-media accounts that unlawfully publish information such as account opening tutorials and experience-sharing content. The prohibited behaviors include marketing, account opening, processing trading instructions and fund transfers. The Implementation Plan also stipulates that a two-year concentrated rectification period shall be established for winding down existing illegal business activities.</w:t>
      </w:r>
    </w:p>
    <w:p>
      <w:pPr>
        <w:pStyle w:val="TextBody"/>
        <w:bidi w:val="0"/>
        <w:spacing w:before="24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Regulations Relating to Employment</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Labor Law of the People’s Republic of China (the “Labor Law”), which became effective in January 1995 and was amended in 2018, and the Labor Contract Law of the People’s Republic of China (the “Labor Contract Law”), effective in January 2008 and amended in 2012, require employers to provide written contracts to their employees, restrict the use of temporary workers and aim to give employees long-term job security. Employers must pay their employees’ wages equal to or above local minimum wage standards, establish labor safety and workplace sanitation systems, comply with state labor rules and standards and provide employees with appropriate training on workplace safety. In September 2008, the State Council promulgated the Implementing Regulations for the PRC Labor Contract Law which became effective immediately and interprets and supplements the provisions of the Labor Contract Law.</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32</w:t>
      </w:r>
    </w:p>
    <w:p>
      <w:pPr>
        <w:pStyle w:val="HorizontalLine"/>
        <w:bidi w:val="0"/>
        <w:spacing w:before="200" w:after="200"/>
        <w:jc w:val="left"/>
        <w:rPr/>
      </w:pPr>
      <w:r>
        <w:rPr/>
      </w:r>
    </w:p>
    <w:p>
      <w:pPr>
        <w:pStyle w:val="TextBody"/>
        <w:bidi w:val="0"/>
        <w:jc w:val="left"/>
        <w:rPr/>
      </w:pPr>
      <w:hyperlink w:anchor="TOC">
        <w:bookmarkStart w:id="58" w:name="ny20075344x1_posam_110-mda_pg4"/>
        <w:bookmarkEnd w:id="5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January 2014, the Ministry of Human Resource and Social Security of the PRC issued the Interim Provisions on Labor Dispatching, which became effective in March 2014, pursuant to which it provides that the number of dispatched workers used by an employer shall not exceed 10% of the total number of its employees.</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PRC governmental authorities have passed a variety of laws and regulations regarding social insurance and housing funds from time to time, including, among others, the Social Insurance Law of the People’s Republic of China, the Regulation of Insurance for Labor Injury, the Regulations of Insurance for Unemployment, the Provisional Insurance Measures for Maternal Employees, the Interim Administrative Provisions on Registration of Social Insurance and the Administrative Regulations on the Housing Provident Fund.</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According to the Social Insurance Law of PRC, which issued by the SCNPC on October 28, 2010 and came into effect on July 1, 2011 and was latest revised on December 29, 2018, enterprises and institutions in the PRC shall provide their employees with welfare schemes covering pension insurance, unemployment insurance, maternity insurance, work-related injury insurance, medical insurance and other welfare plans. The employer shall apply to the local social insurance agency for social insurance registration within 30 days from the date of its formation. And it shall, within 30 days from the date of employment, apply to the social insurance agency for social insurance registration for the employee.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According to the Administrative Regulations on the Housing Provident Fund, implemented since April 3, 1999 and latest amended on March 24, 2019, any newly established entity shall make deposit registration at the housing accumulation fund management center within 30 days as of its establishment. After that, the entity shall open a housing accumulation fund account for its employees in an entrusted bank. Within 30 days as of the date an employee is recruited, the entity shall make deposit registration at the housing accumulation fund management center and seal up the employee’s housing accumulation fund account in the bank mentioned above within 30 days from termination of the employment relationship.</w:t>
      </w:r>
    </w:p>
    <w:p>
      <w:pPr>
        <w:pStyle w:val="TextBody"/>
        <w:bidi w:val="0"/>
        <w:spacing w:before="410" w:after="283"/>
        <w:ind w:left="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Regulations Relating to Tax in the PRC</w:t>
      </w:r>
    </w:p>
    <w:p>
      <w:pPr>
        <w:pStyle w:val="TextBody"/>
        <w:bidi w:val="0"/>
        <w:spacing w:before="15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Income Tax</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PRC Enterprise Income Tax Law was promulgated in March 2007 and was most recently amended in December 2018. The PRC Enterprise Income Tax Law applies a uniform 25% enterprise income tax rate to both foreign-invested enterprises and domestic enterprises, except where tax incentives are granted to special industries and projects. Under the PRC Enterprise Income Tax Law, an enterprise established outside China with “de facto management bodies” within China is considered a “resident enterprise” for PRC enterprise income tax purposes and is generally subject to a uniform 25% enterprise income tax rate on its worldwide income. Under the implementation regulations to the PRC Enterprise Income Tax Law, a “de facto management body” is defined as the body that exercises full and substantial control and overall management over the business, productions, personnel, accounts and properties of an enterprise.</w:t>
      </w:r>
    </w:p>
    <w:p>
      <w:pPr>
        <w:pStyle w:val="TextBody"/>
        <w:bidi w:val="0"/>
        <w:spacing w:before="400" w:after="283"/>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Value-Added Tax</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Value-added Tax Law of the PRC (effective on January 1, 2026) and the Implementation Regulations of the Value-Added Tax Law of the PRC promulgated (effective on January 1, 2026) replace the PRC Provisional Regulations on Value-Added Tax (promulgated in 1993 and last amended in 2017). According to such laws and regulations, entities and individuals engaged in the sale of goods, services, intangible assets, or real estate within China, or importing goods to China, shall be identified as taxpayers of value-added tax, and shall pay value-added tax. The sale of goods, services, intangible assets, or real estate refers to the transfer of ownership of goods or real estate for a consideration, the provision of services for a fee, or the transfer of ownership or use rights of intangible assets for a consideration. For taxpayers selling goods, processing, repair or fitting services, or tangible movable property leasing services; or importing goods, the tax rate shall be 13%, unless otherwise specified; for taxpayers selling transportation, postal, basic telecommunications, construction, or real estate leasing services, selling real estate, transferring land use rights, or selling or importing specified goods, the tax rate shall be 9%, unless otherwise specified; for taxpayers selling services or intangible assets, the tax rate shall be 6%, unless otherwise specified; for taxpayers exporting goods, the tax rate shall be zero, except as otherwise provided by the State Council; and for entities and individuals within China engaging in cross-border sales of services or intangible assets within the scope defined by the State Council, the tax rate shall be zero.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33</w:t>
      </w:r>
    </w:p>
    <w:p>
      <w:pPr>
        <w:pStyle w:val="HorizontalLine"/>
        <w:bidi w:val="0"/>
        <w:spacing w:before="200" w:after="200"/>
        <w:jc w:val="left"/>
        <w:rPr/>
      </w:pPr>
      <w:r>
        <w:rPr/>
      </w:r>
    </w:p>
    <w:p>
      <w:pPr>
        <w:pStyle w:val="TextBody"/>
        <w:bidi w:val="0"/>
        <w:jc w:val="left"/>
        <w:rPr/>
      </w:pPr>
      <w:hyperlink w:anchor="TOC">
        <w:bookmarkStart w:id="59" w:name="ny20075344x1_posam_110-mda_pg5"/>
        <w:bookmarkEnd w:id="5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60" w:name="tMAN"/>
      <w:bookmarkEnd w:id="60"/>
      <w:r>
        <w:rPr>
          <w:rFonts w:ascii="Times New Roman;Times;serif" w:hAnsi="Times New Roman;Times;serif"/>
          <w:b/>
          <w:color w:val="000000"/>
          <w:sz w:val="20"/>
          <w:shd w:fill="FFFFFF" w:val="clear"/>
        </w:rPr>
        <w:t xml:space="preserve">MANAGEMENT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a description of our management, please read “</w:t>
      </w:r>
      <w:r>
        <w:rPr>
          <w:rFonts w:ascii="Times New Roman;Times;serif" w:hAnsi="Times New Roman;Times;serif"/>
          <w:i/>
          <w:color w:val="000000"/>
          <w:sz w:val="20"/>
          <w:shd w:fill="FFFFFF" w:val="clear"/>
        </w:rPr>
        <w:t>Item 6. Directors, Senior Management and Employees</w:t>
      </w:r>
      <w:r>
        <w:rPr>
          <w:rFonts w:ascii="Times New Roman;Times;serif" w:hAnsi="Times New Roman;Times;serif"/>
          <w:color w:val="000000"/>
          <w:sz w:val="20"/>
          <w:shd w:fill="FFFFFF" w:val="clear"/>
        </w:rPr>
        <w:t xml:space="preserve">” in our 2025 Annual Report, which is incorporated by reference into this prospectus. There have been no material changes or developments to our management since the filing of our 2025 Annual Report, except as otherwise set forth in this prospectus.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34</w:t>
      </w:r>
    </w:p>
    <w:p>
      <w:pPr>
        <w:pStyle w:val="HorizontalLine"/>
        <w:bidi w:val="0"/>
        <w:spacing w:before="200" w:after="200"/>
        <w:jc w:val="left"/>
        <w:rPr/>
      </w:pPr>
      <w:r>
        <w:rPr/>
      </w:r>
    </w:p>
    <w:p>
      <w:pPr>
        <w:pStyle w:val="TextBody"/>
        <w:bidi w:val="0"/>
        <w:jc w:val="left"/>
        <w:rPr/>
      </w:pPr>
      <w:hyperlink w:anchor="TOC">
        <w:bookmarkStart w:id="61" w:name="ny20075344x1_posam_111-shareholders_pg1"/>
        <w:bookmarkEnd w:id="6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62" w:name="tPS"/>
      <w:bookmarkEnd w:id="62"/>
      <w:r>
        <w:rPr>
          <w:rFonts w:ascii="Times New Roman;Times;serif" w:hAnsi="Times New Roman;Times;serif"/>
          <w:b/>
          <w:color w:val="000000"/>
          <w:sz w:val="20"/>
          <w:shd w:fill="FFFFFF" w:val="clear"/>
        </w:rPr>
        <w:t xml:space="preserve">PRINCIPAL SHAREHOLDERS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sets forth information with respect to the beneficial ownership, within the meaning of Rule 13d-3 under the Exchange Act, of our Ordinary Shares as of the date of this prospectus, and as adjusted to reflect the sale of the Ordinary Shares offered in this offering for: </w:t>
      </w:r>
    </w:p>
    <w:tbl>
      <w:tblPr>
        <w:tblW w:w="5710" w:type="dxa"/>
        <w:jc w:val="left"/>
        <w:tblInd w:w="0" w:type="dxa"/>
        <w:tblLayout w:type="fixed"/>
        <w:tblCellMar>
          <w:top w:w="0" w:type="dxa"/>
          <w:left w:w="0" w:type="dxa"/>
          <w:bottom w:w="0" w:type="dxa"/>
          <w:right w:w="0" w:type="dxa"/>
        </w:tblCellMar>
      </w:tblPr>
      <w:tblGrid>
        <w:gridCol w:w="110"/>
        <w:gridCol w:w="5600"/>
      </w:tblGrid>
      <w:tr>
        <w:trPr/>
        <w:tc>
          <w:tcPr>
            <w:tcW w:w="11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director appointees and executive officers; and </w:t>
            </w:r>
          </w:p>
        </w:tc>
      </w:tr>
    </w:tbl>
    <w:tbl>
      <w:tblPr>
        <w:tblW w:w="6670" w:type="dxa"/>
        <w:jc w:val="left"/>
        <w:tblInd w:w="0" w:type="dxa"/>
        <w:tblLayout w:type="fixed"/>
        <w:tblCellMar>
          <w:top w:w="0" w:type="dxa"/>
          <w:left w:w="0" w:type="dxa"/>
          <w:bottom w:w="0" w:type="dxa"/>
          <w:right w:w="0" w:type="dxa"/>
        </w:tblCellMar>
      </w:tblPr>
      <w:tblGrid>
        <w:gridCol w:w="110"/>
        <w:gridCol w:w="6560"/>
      </w:tblGrid>
      <w:tr>
        <w:trPr/>
        <w:tc>
          <w:tcPr>
            <w:tcW w:w="110" w:type="dxa"/>
            <w:tcBorders/>
            <w:vAlign w:val="center"/>
          </w:tcPr>
          <w:p>
            <w:pPr>
              <w:pStyle w:val="TableContents"/>
              <w:bidi w:val="0"/>
              <w:spacing w:before="0" w:after="0"/>
              <w:jc w:val="left"/>
              <w:rPr>
                <w:color w:val="000000"/>
              </w:rPr>
            </w:pPr>
            <w:r>
              <w:rPr>
                <w:color w:val="000000"/>
              </w:rPr>
              <w:t>•</w:t>
            </w:r>
          </w:p>
        </w:tc>
        <w:tc>
          <w:tcPr>
            <w:tcW w:w="6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known to us to own beneficially 5% or more of our Ordinary Shares. </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prior to this offering is based on 48,237,472 Ordinary Shares outstanding, excluding the number of Ordinary Shares issuable upon vesting of our outstanding restricted share units, as of the date of this prospectus.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percentage of Ordinary Shares beneficially owned after the offering is based on 53,597,191 Ordinary Shares assumed to be outstanding after the closing of this offering, after giving effect to the sale of all the Ordinary Shares offered hereby, assuming the number of Ordinary Shares offered by us, as set forth on the cover of this prospectus, remains the same. 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 </w:t>
      </w:r>
    </w:p>
    <w:tbl>
      <w:tblPr>
        <w:tblW w:w="10205" w:type="dxa"/>
        <w:jc w:val="left"/>
        <w:tblInd w:w="0" w:type="dxa"/>
        <w:tblLayout w:type="fixed"/>
        <w:tblCellMar>
          <w:top w:w="0" w:type="dxa"/>
          <w:left w:w="0" w:type="dxa"/>
          <w:bottom w:w="0" w:type="dxa"/>
          <w:right w:w="0" w:type="dxa"/>
        </w:tblCellMar>
      </w:tblPr>
      <w:tblGrid>
        <w:gridCol w:w="5592"/>
        <w:gridCol w:w="140"/>
        <w:gridCol w:w="140"/>
        <w:gridCol w:w="950"/>
        <w:gridCol w:w="140"/>
        <w:gridCol w:w="140"/>
        <w:gridCol w:w="788"/>
        <w:gridCol w:w="140"/>
        <w:gridCol w:w="140"/>
        <w:gridCol w:w="950"/>
        <w:gridCol w:w="140"/>
        <w:gridCol w:w="140"/>
        <w:gridCol w:w="805"/>
      </w:tblGrid>
      <w:tr>
        <w:trPr/>
        <w:tc>
          <w:tcPr>
            <w:tcW w:w="55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8"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5" w:type="dxa"/>
            <w:gridSpan w:val="4"/>
            <w:tcBorders/>
            <w:vAlign w:val="center"/>
          </w:tcPr>
          <w:p>
            <w:pPr>
              <w:pStyle w:val="TableContents"/>
              <w:bidi w:val="0"/>
              <w:spacing w:before="0" w:after="0"/>
              <w:jc w:val="left"/>
              <w:rPr/>
            </w:pPr>
            <w:r>
              <w:rPr/>
              <w:t> </w:t>
            </w:r>
          </w:p>
        </w:tc>
      </w:tr>
      <w:tr>
        <w:trPr/>
        <w:tc>
          <w:tcPr>
            <w:tcW w:w="55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1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Ordinary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Prior to this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Ordinary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this Offering </w:t>
            </w:r>
          </w:p>
        </w:tc>
      </w:tr>
      <w:tr>
        <w:trPr/>
        <w:tc>
          <w:tcPr>
            <w:tcW w:w="559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Ordinary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power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Ordinary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power </w:t>
            </w:r>
          </w:p>
        </w:tc>
      </w:tr>
      <w:tr>
        <w:trPr/>
        <w:tc>
          <w:tcPr>
            <w:tcW w:w="5592"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Director Appointees and Executive Officers</w:t>
            </w:r>
            <w:r>
              <w:rPr>
                <w:rFonts w:ascii="Times New Roman;Times;serif" w:hAnsi="Times New Roman;Times;serif"/>
                <w:b/>
                <w:color w:val="000000"/>
                <w:position w:val="7"/>
                <w:sz w:val="16"/>
                <w:sz w:val="20"/>
              </w:rPr>
              <w:t>(1)</w:t>
            </w:r>
            <w:r>
              <w:rPr>
                <w:rFonts w:ascii="Times New Roman;Times;serif" w:hAnsi="Times New Roman;Times;serif"/>
                <w:b/>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5" w:type="dxa"/>
            <w:tcBorders/>
            <w:shd w:fill="CCEEFF" w:val="clear"/>
            <w:vAlign w:val="center"/>
          </w:tcPr>
          <w:p>
            <w:pPr>
              <w:pStyle w:val="TableContents"/>
              <w:bidi w:val="0"/>
              <w:spacing w:before="0" w:after="0"/>
              <w:jc w:val="center"/>
              <w:rPr>
                <w:color w:val="000000"/>
              </w:rPr>
            </w:pPr>
            <w:r>
              <w:rPr>
                <w:color w:val="000000"/>
              </w:rPr>
              <w:t> </w:t>
            </w:r>
          </w:p>
        </w:tc>
      </w:tr>
      <w:tr>
        <w:trPr/>
        <w:tc>
          <w:tcPr>
            <w:tcW w:w="55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ZHOU Kai</w:t>
            </w:r>
            <w:r>
              <w:rPr>
                <w:rFonts w:ascii="Times New Roman;Times;serif" w:hAnsi="Times New Roman;Times;serif"/>
                <w:color w:val="000000"/>
                <w:position w:val="7"/>
                <w:sz w:val="16"/>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 w:type="dxa"/>
            <w:tcBorders/>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84.95%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5" w:type="dxa"/>
            <w:tcBorders/>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76.46%</w:t>
            </w:r>
          </w:p>
        </w:tc>
      </w:tr>
      <w:tr>
        <w:trPr/>
        <w:tc>
          <w:tcPr>
            <w:tcW w:w="55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CHU Chun On Franco</w:t>
            </w:r>
            <w:r>
              <w:rPr>
                <w:rFonts w:ascii="Times New Roman;Times;serif" w:hAnsi="Times New Roman;Times;serif"/>
                <w:color w:val="000000"/>
                <w:position w:val="7"/>
                <w:sz w:val="16"/>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 w:type="dxa"/>
            <w:tcBorders/>
            <w:shd w:fill="CCEEFF" w:val="clear"/>
            <w:vAlign w:val="center"/>
          </w:tcPr>
          <w:p>
            <w:pPr>
              <w:pStyle w:val="TableContents"/>
              <w:bidi w:val="0"/>
              <w:spacing w:before="0" w:after="283"/>
              <w:ind w:left="131"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5" w:type="dxa"/>
            <w:tcBorders/>
            <w:shd w:fill="CCEEFF" w:val="clear"/>
            <w:vAlign w:val="center"/>
          </w:tcPr>
          <w:p>
            <w:pPr>
              <w:pStyle w:val="TableContents"/>
              <w:bidi w:val="0"/>
              <w:spacing w:before="0" w:after="283"/>
              <w:ind w:left="130" w:right="0" w:hanging="0"/>
              <w:jc w:val="left"/>
              <w:rPr>
                <w:color w:val="000000"/>
              </w:rPr>
            </w:pPr>
            <w:r>
              <w:rPr>
                <w:color w:val="000000"/>
              </w:rPr>
              <w:t>—</w:t>
            </w:r>
          </w:p>
        </w:tc>
      </w:tr>
      <w:tr>
        <w:trPr/>
        <w:tc>
          <w:tcPr>
            <w:tcW w:w="55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Beeland Rogers Jr.</w:t>
            </w:r>
            <w:r>
              <w:rPr>
                <w:rFonts w:ascii="Times New Roman;Times;serif" w:hAnsi="Times New Roman;Times;serif"/>
                <w:color w:val="000000"/>
                <w:position w:val="7"/>
                <w:sz w:val="16"/>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220,746</w:t>
            </w:r>
            <w:r>
              <w:rPr>
                <w:rFonts w:ascii="Times New Roman;Times;serif" w:hAnsi="Times New Roman;Times;serif"/>
                <w:color w:val="000000"/>
                <w:position w:val="7"/>
                <w:sz w:val="16"/>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 w:type="dxa"/>
            <w:tcBorders/>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0.46%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220,746</w:t>
            </w:r>
            <w:r>
              <w:rPr>
                <w:rFonts w:ascii="Times New Roman;Times;serif" w:hAnsi="Times New Roman;Times;serif"/>
                <w:color w:val="000000"/>
                <w:position w:val="7"/>
                <w:sz w:val="16"/>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5" w:type="dxa"/>
            <w:tcBorders/>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0.41%</w:t>
            </w:r>
          </w:p>
        </w:tc>
      </w:tr>
      <w:tr>
        <w:trPr/>
        <w:tc>
          <w:tcPr>
            <w:tcW w:w="55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WEN Huaxin</w:t>
            </w:r>
            <w:r>
              <w:rPr>
                <w:rFonts w:ascii="Times New Roman;Times;serif" w:hAnsi="Times New Roman;Times;serif"/>
                <w:color w:val="000000"/>
                <w:position w:val="7"/>
                <w:sz w:val="16"/>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688,458</w:t>
            </w:r>
            <w:r>
              <w:rPr>
                <w:rFonts w:ascii="Times New Roman;Times;serif" w:hAnsi="Times New Roman;Times;serif"/>
                <w:color w:val="000000"/>
                <w:position w:val="7"/>
                <w:sz w:val="16"/>
                <w:sz w:val="20"/>
              </w:rPr>
              <w: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 w:type="dxa"/>
            <w:tcBorders/>
            <w:shd w:fill="CCEEFF" w:val="cle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688,458</w:t>
            </w:r>
            <w:r>
              <w:rPr>
                <w:rFonts w:ascii="Times New Roman;Times;serif" w:hAnsi="Times New Roman;Times;serif"/>
                <w:color w:val="000000"/>
                <w:position w:val="7"/>
                <w:sz w:val="16"/>
                <w:sz w:val="20"/>
              </w:rPr>
              <w:t>(8)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1.28%</w:t>
            </w:r>
          </w:p>
        </w:tc>
      </w:tr>
      <w:tr>
        <w:trPr/>
        <w:tc>
          <w:tcPr>
            <w:tcW w:w="55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FUNG Chi Kin</w:t>
            </w:r>
            <w:r>
              <w:rPr>
                <w:rFonts w:ascii="Times New Roman;Times;serif" w:hAnsi="Times New Roman;Times;serif"/>
                <w:color w:val="000000"/>
                <w:position w:val="7"/>
                <w:sz w:val="16"/>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 w:type="dxa"/>
            <w:tcBorders/>
            <w:vAlign w:val="center"/>
          </w:tcPr>
          <w:p>
            <w:pPr>
              <w:pStyle w:val="TableContents"/>
              <w:bidi w:val="0"/>
              <w:spacing w:before="0" w:after="283"/>
              <w:ind w:left="131"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5" w:type="dxa"/>
            <w:tcBorders/>
            <w:vAlign w:val="center"/>
          </w:tcPr>
          <w:p>
            <w:pPr>
              <w:pStyle w:val="TableContents"/>
              <w:bidi w:val="0"/>
              <w:spacing w:before="0" w:after="283"/>
              <w:ind w:left="130" w:right="0" w:hanging="0"/>
              <w:jc w:val="left"/>
              <w:rPr>
                <w:color w:val="000000"/>
              </w:rPr>
            </w:pPr>
            <w:r>
              <w:rPr>
                <w:color w:val="000000"/>
              </w:rPr>
              <w:t>—</w:t>
            </w:r>
          </w:p>
        </w:tc>
      </w:tr>
      <w:tr>
        <w:trPr/>
        <w:tc>
          <w:tcPr>
            <w:tcW w:w="55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 Haibo</w:t>
            </w:r>
            <w:r>
              <w:rPr>
                <w:rFonts w:ascii="Times New Roman;Times;serif" w:hAnsi="Times New Roman;Times;serif"/>
                <w:color w:val="000000"/>
                <w:position w:val="7"/>
                <w:sz w:val="16"/>
                <w:sz w:val="20"/>
              </w:rPr>
              <w: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 w:type="dxa"/>
            <w:tcBorders/>
            <w:shd w:fill="CCEEFF" w:val="clear"/>
            <w:vAlign w:val="center"/>
          </w:tcPr>
          <w:p>
            <w:pPr>
              <w:pStyle w:val="TableContents"/>
              <w:bidi w:val="0"/>
              <w:spacing w:before="0" w:after="283"/>
              <w:ind w:left="131" w:right="0" w:hanging="0"/>
              <w:jc w:val="left"/>
              <w:rPr>
                <w:color w:val="000000"/>
              </w:rPr>
            </w:pPr>
            <w:r>
              <w:rPr>
                <w:color w:val="00000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5" w:type="dxa"/>
            <w:tcBorders/>
            <w:shd w:fill="CCEEFF" w:val="clear"/>
            <w:vAlign w:val="center"/>
          </w:tcPr>
          <w:p>
            <w:pPr>
              <w:pStyle w:val="TableContents"/>
              <w:bidi w:val="0"/>
              <w:spacing w:before="0" w:after="283"/>
              <w:ind w:left="130" w:right="0" w:hanging="0"/>
              <w:jc w:val="left"/>
              <w:rPr>
                <w:color w:val="000000"/>
              </w:rPr>
            </w:pPr>
            <w:r>
              <w:rPr>
                <w:color w:val="000000"/>
              </w:rPr>
              <w:t>—</w:t>
            </w:r>
          </w:p>
        </w:tc>
      </w:tr>
      <w:tr>
        <w:trPr/>
        <w:tc>
          <w:tcPr>
            <w:tcW w:w="55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JIANG Wen</w:t>
            </w:r>
            <w:r>
              <w:rPr>
                <w:rFonts w:ascii="Times New Roman;Times;serif" w:hAnsi="Times New Roman;Times;serif"/>
                <w:color w:val="000000"/>
                <w:position w:val="7"/>
                <w:sz w:val="16"/>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 w:type="dxa"/>
            <w:tcBorders/>
            <w:vAlign w:val="center"/>
          </w:tcPr>
          <w:p>
            <w:pPr>
              <w:pStyle w:val="TableContents"/>
              <w:bidi w:val="0"/>
              <w:spacing w:before="0" w:after="283"/>
              <w:ind w:left="131"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5" w:type="dxa"/>
            <w:tcBorders/>
            <w:vAlign w:val="center"/>
          </w:tcPr>
          <w:p>
            <w:pPr>
              <w:pStyle w:val="TableContents"/>
              <w:bidi w:val="0"/>
              <w:spacing w:before="0" w:after="283"/>
              <w:ind w:left="130" w:right="0" w:hanging="0"/>
              <w:jc w:val="left"/>
              <w:rPr>
                <w:color w:val="000000"/>
              </w:rPr>
            </w:pPr>
            <w:r>
              <w:rPr>
                <w:color w:val="000000"/>
              </w:rPr>
              <w:t>—</w:t>
            </w:r>
          </w:p>
        </w:tc>
      </w:tr>
      <w:tr>
        <w:trPr/>
        <w:tc>
          <w:tcPr>
            <w:tcW w:w="5592"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All directors, director appointees and executive officers as a group (seven persons)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41,889,204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 w:type="dxa"/>
            <w:tcBorders/>
            <w:shd w:fill="CCEEFF" w:val="cle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86.86%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41,889,204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78.16%</w:t>
            </w:r>
          </w:p>
        </w:tc>
      </w:tr>
      <w:tr>
        <w:trPr/>
        <w:tc>
          <w:tcPr>
            <w:tcW w:w="559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Principal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5" w:type="dxa"/>
            <w:tcBorders/>
            <w:vAlign w:val="center"/>
          </w:tcPr>
          <w:p>
            <w:pPr>
              <w:pStyle w:val="TableContents"/>
              <w:bidi w:val="0"/>
              <w:spacing w:before="0" w:after="0"/>
              <w:jc w:val="center"/>
              <w:rPr>
                <w:color w:val="000000"/>
              </w:rPr>
            </w:pPr>
            <w:r>
              <w:rPr>
                <w:color w:val="000000"/>
              </w:rPr>
              <w:t> </w:t>
            </w:r>
          </w:p>
        </w:tc>
      </w:tr>
      <w:tr>
        <w:trPr/>
        <w:tc>
          <w:tcPr>
            <w:tcW w:w="55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WATON CORPORATION LIMITED</w:t>
            </w:r>
            <w:r>
              <w:rPr>
                <w:rFonts w:ascii="Times New Roman;Times;serif" w:hAnsi="Times New Roman;Times;serif"/>
                <w:color w:val="000000"/>
                <w:position w:val="7"/>
                <w:sz w:val="16"/>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40,980,000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 w:type="dxa"/>
            <w:tcBorders/>
            <w:shd w:fill="CCEEFF" w:val="cle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40,980,000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76.46%</w:t>
            </w:r>
          </w:p>
        </w:tc>
      </w:tr>
      <w:tr>
        <w:trPr/>
        <w:tc>
          <w:tcPr>
            <w:tcW w:w="55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TRIUMPH TEAM ASSETS LIMITED</w:t>
            </w:r>
            <w:r>
              <w:rPr>
                <w:rFonts w:ascii="Times New Roman;Times;serif" w:hAnsi="Times New Roman;Times;serif"/>
                <w:color w:val="000000"/>
                <w:position w:val="7"/>
                <w:sz w:val="16"/>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 w:type="dxa"/>
            <w:tcBorders/>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84.95%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5" w:type="dxa"/>
            <w:tcBorders/>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76.46%</w:t>
            </w:r>
          </w:p>
        </w:tc>
      </w:tr>
      <w:tr>
        <w:trPr/>
        <w:tc>
          <w:tcPr>
            <w:tcW w:w="559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WATON ESOP HOLDINGS LTD</w:t>
            </w:r>
            <w:r>
              <w:rPr>
                <w:rFonts w:ascii="Times New Roman;Times;serif" w:hAnsi="Times New Roman;Times;serif"/>
                <w:color w:val="000000"/>
                <w:position w:val="7"/>
                <w:sz w:val="16"/>
                <w:sz w:val="20"/>
              </w:rPr>
              <w:t>(2)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40,980,000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88" w:type="dxa"/>
            <w:tcBorders/>
            <w:shd w:fill="CCEEFF" w:val="clear"/>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84.95%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40,980,000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5"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76.46%</w:t>
            </w:r>
          </w:p>
        </w:tc>
      </w:tr>
      <w:tr>
        <w:trPr/>
        <w:tc>
          <w:tcPr>
            <w:tcW w:w="55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WTF HOLDING GROUP LIMITED</w:t>
            </w:r>
            <w:r>
              <w:rPr>
                <w:rFonts w:ascii="Times New Roman;Times;serif" w:hAnsi="Times New Roman;Times;serif"/>
                <w:color w:val="000000"/>
                <w:position w:val="7"/>
                <w:sz w:val="16"/>
                <w:sz w:val="20"/>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 w:type="dxa"/>
            <w:tcBorders/>
            <w:vAlign w:val="center"/>
          </w:tcPr>
          <w:p>
            <w:pPr>
              <w:pStyle w:val="TableContents"/>
              <w:bidi w:val="0"/>
              <w:spacing w:before="0" w:after="283"/>
              <w:ind w:left="131" w:right="0" w:hanging="0"/>
              <w:jc w:val="left"/>
              <w:rPr>
                <w:rFonts w:ascii="Times New Roman;Times;serif" w:hAnsi="Times New Roman;Times;serif"/>
                <w:color w:val="000000"/>
                <w:sz w:val="20"/>
              </w:rPr>
            </w:pPr>
            <w:r>
              <w:rPr>
                <w:rFonts w:ascii="Times New Roman;Times;serif" w:hAnsi="Times New Roman;Times;serif"/>
                <w:color w:val="000000"/>
                <w:sz w:val="20"/>
              </w:rPr>
              <w:t>84.95%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40,980,000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5" w:type="dxa"/>
            <w:tcBorders/>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76.46%</w:t>
            </w:r>
          </w:p>
        </w:tc>
      </w:tr>
      <w:tr>
        <w:trPr/>
        <w:tc>
          <w:tcPr>
            <w:tcW w:w="55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8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business address of our directors and executive officers is Suites 3605-06, 36th Floor, Tower 6, The Gateway, Harbour City, Tsim Sha Tsui, Kowloon in Hong Kong.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shares are held by WATON CORPORATION LIMITED (“Waton Corporation”), an exempted company incorporated in the Cayman Islands, of which approximately 47.70% are held by TRIUMPH TEAM ASSETS LIMITED (“Triumph Team Assets”) and approximately 9.40% are held by WATON ESOP HOLDINGS LTD (“Waton ESOP Holdings”). Each of Triumph Team Assets and Waton ESOP Holdings is 100% owned by WTF Holding Group Limited (“WTF Holding”). Our Chairman of the Board of Directors, and Chief Technology Officer, Mr. Zhou Kai, is the sole director of Waton Corporation and 100% owner of each of Triumph Team Assets, Waton ESOP Holdings and WTF Holding. Mr. Zhou Kai holds the voting powers (and dispositive powers) over the Ordinary Shares held by Waton Corporation. The registered address of Waton Corporation is Harneys Fiduciary (Cayman) Limited, 4th Floor, Harbour Place, 103 South Church Street,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35</w:t>
      </w:r>
    </w:p>
    <w:p>
      <w:pPr>
        <w:pStyle w:val="HorizontalLine"/>
        <w:bidi w:val="0"/>
        <w:spacing w:before="200" w:after="200"/>
        <w:jc w:val="left"/>
        <w:rPr/>
      </w:pPr>
      <w:r>
        <w:rPr/>
      </w:r>
    </w:p>
    <w:p>
      <w:pPr>
        <w:pStyle w:val="TextBody"/>
        <w:bidi w:val="0"/>
        <w:jc w:val="left"/>
        <w:rPr/>
      </w:pPr>
      <w:hyperlink w:anchor="TOC">
        <w:bookmarkStart w:id="63" w:name="ny20075344x1_posam_111-shareholders_pg2"/>
        <w:bookmarkEnd w:id="6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05" w:after="283"/>
        <w:ind w:left="400" w:right="0" w:hanging="0"/>
        <w:jc w:val="both"/>
        <w:rPr>
          <w:rFonts w:ascii="Times New Roman;Times;serif" w:hAnsi="Times New Roman;Times;serif"/>
          <w:color w:val="000000"/>
          <w:sz w:val="16"/>
          <w:shd w:fill="FFFFFF" w:val="clear"/>
        </w:rPr>
      </w:pPr>
      <w:r>
        <w:rPr>
          <w:rFonts w:ascii="Times New Roman;Times;serif" w:hAnsi="Times New Roman;Times;serif"/>
          <w:color w:val="000000"/>
          <w:sz w:val="16"/>
          <w:shd w:fill="FFFFFF" w:val="clear"/>
        </w:rPr>
        <w:t xml:space="preserve">P.O. Box 10240, Grand Cayman KY1-1002, Cayman Islands. The registered address of each of Triumph Team Assets and Waton Esop Holdings is Harneys Corporate Services Limited, Craigmuir Chambers, Road Town, Tortola, VG 1110, British Virgin Islands. The registered address of WTF Holding is Start Chambers, Wickhams Cayt II, P.O. Box 2221, Road Town, Tortola, British Virgin Islands. </w:t>
      </w:r>
    </w:p>
    <w:tbl>
      <w:tblPr>
        <w:tblW w:w="2905" w:type="dxa"/>
        <w:jc w:val="left"/>
        <w:tblInd w:w="0" w:type="dxa"/>
        <w:tblLayout w:type="fixed"/>
        <w:tblCellMar>
          <w:top w:w="0" w:type="dxa"/>
          <w:left w:w="0" w:type="dxa"/>
          <w:bottom w:w="0" w:type="dxa"/>
          <w:right w:w="0" w:type="dxa"/>
        </w:tblCellMar>
      </w:tblPr>
      <w:tblGrid>
        <w:gridCol w:w="230"/>
        <w:gridCol w:w="26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26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Director and Chief Executive Officer. </w:t>
            </w:r>
          </w:p>
        </w:tc>
      </w:tr>
    </w:tbl>
    <w:tbl>
      <w:tblPr>
        <w:tblW w:w="2305" w:type="dxa"/>
        <w:jc w:val="left"/>
        <w:tblInd w:w="0" w:type="dxa"/>
        <w:tblLayout w:type="fixed"/>
        <w:tblCellMar>
          <w:top w:w="0" w:type="dxa"/>
          <w:left w:w="0" w:type="dxa"/>
          <w:bottom w:w="0" w:type="dxa"/>
          <w:right w:w="0" w:type="dxa"/>
        </w:tblCellMar>
      </w:tblPr>
      <w:tblGrid>
        <w:gridCol w:w="230"/>
        <w:gridCol w:w="20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20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Director and Senior Advisor. </w:t>
            </w:r>
          </w:p>
        </w:tc>
      </w:tr>
    </w:tbl>
    <w:tbl>
      <w:tblPr>
        <w:tblW w:w="1930" w:type="dxa"/>
        <w:jc w:val="left"/>
        <w:tblInd w:w="0" w:type="dxa"/>
        <w:tblLayout w:type="fixed"/>
        <w:tblCellMar>
          <w:top w:w="0" w:type="dxa"/>
          <w:left w:w="0" w:type="dxa"/>
          <w:bottom w:w="0" w:type="dxa"/>
          <w:right w:w="0" w:type="dxa"/>
        </w:tblCellMar>
      </w:tblPr>
      <w:tblGrid>
        <w:gridCol w:w="230"/>
        <w:gridCol w:w="17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7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Chief Financial Officer. </w:t>
            </w:r>
          </w:p>
        </w:tc>
      </w:tr>
    </w:tbl>
    <w:tbl>
      <w:tblPr>
        <w:tblW w:w="1825" w:type="dxa"/>
        <w:jc w:val="left"/>
        <w:tblInd w:w="0" w:type="dxa"/>
        <w:tblLayout w:type="fixed"/>
        <w:tblCellMar>
          <w:top w:w="0" w:type="dxa"/>
          <w:left w:w="0" w:type="dxa"/>
          <w:bottom w:w="0" w:type="dxa"/>
          <w:right w:w="0" w:type="dxa"/>
        </w:tblCellMar>
      </w:tblPr>
      <w:tblGrid>
        <w:gridCol w:w="230"/>
        <w:gridCol w:w="15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5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Independent Director.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220,746 Ordinary Shares issued upon the vesting and exercise of the restricted share units granted under the Company’s 2024 Global Equity Incentive Plan.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688,458 Ordinary Shares issued upon the vesting and exercise of the restricted share units granted under the Company’s 2024 Global Equity Incentive Plan, which will be held under the 2024 Global Equity Incentive Plan Trust during the mandatory two-year lock-up period. As of the date of this prospectus, Mr. Wen Huaxin has completed the share transfer of 688,458 Ordinary Shares to WATON ESOP PLAN LTD. Mr. Wen Huaxin retains rights to vote, receive notices of meetings or rights to dividends or other distributions in respect of the Ordinary Shares during the mandatory lock-up period, and is the beneficial owner of the Ordinary Shares pursuant to Rule 13d-3 under the Exchange Act. See “</w:t>
            </w:r>
            <w:r>
              <w:rPr>
                <w:rFonts w:ascii="Times New Roman;Times;serif" w:hAnsi="Times New Roman;Times;serif"/>
                <w:i/>
                <w:color w:val="000000"/>
                <w:sz w:val="16"/>
              </w:rPr>
              <w:t>Item 6. Directors, Senior Management And Employees — B. Compensation — Share Incentive Plan</w:t>
            </w:r>
            <w:r>
              <w:rPr>
                <w:rFonts w:ascii="Times New Roman;Times;serif" w:hAnsi="Times New Roman;Times;serif"/>
                <w:color w:val="000000"/>
                <w:sz w:val="16"/>
              </w:rPr>
              <w:t xml:space="preserve">” in our 2025 Annual Report for details. </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Other than as disclosed in this prospectus and “</w:t>
      </w:r>
      <w:r>
        <w:rPr>
          <w:rFonts w:ascii="Times New Roman;Times;serif" w:hAnsi="Times New Roman;Times;serif"/>
          <w:i/>
          <w:color w:val="000000"/>
          <w:sz w:val="20"/>
          <w:shd w:fill="FFFFFF" w:val="clear"/>
        </w:rPr>
        <w:t>Item 6. Directors, Senior Management and Employees—E. Share Ownership</w:t>
      </w:r>
      <w:r>
        <w:rPr>
          <w:rFonts w:ascii="Times New Roman;Times;serif" w:hAnsi="Times New Roman;Times;serif"/>
          <w:color w:val="000000"/>
          <w:sz w:val="20"/>
          <w:shd w:fill="FFFFFF" w:val="clear"/>
        </w:rPr>
        <w:t xml:space="preserve">” in our 2025 Annual Report, there are not any significant changes in the percentage ownership held by any major shareholders during the past three years.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None of the Company’s major shareholders will have any different or special voting rights with respect to their Ordinary Shares.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the date of this prospectus, 100% of our issued and outstanding Ordinary Shares are held in the United States by one record holder, Cede and Company, as nominee for beneficial shareholders.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To our knowledge, the Company is not directly or indirectly owned or controlled by another corporation(s), by any foreign government, or by any other natural or legal person(s) severally or jointly. We are not aware of any arrangement that may, at a subsequent date, result in a change of control of our Company.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36</w:t>
      </w:r>
    </w:p>
    <w:p>
      <w:pPr>
        <w:pStyle w:val="HorizontalLine"/>
        <w:bidi w:val="0"/>
        <w:spacing w:before="200" w:after="200"/>
        <w:jc w:val="left"/>
        <w:rPr/>
      </w:pPr>
      <w:r>
        <w:rPr/>
      </w:r>
    </w:p>
    <w:p>
      <w:pPr>
        <w:pStyle w:val="TextBody"/>
        <w:bidi w:val="0"/>
        <w:jc w:val="left"/>
        <w:rPr/>
      </w:pPr>
      <w:hyperlink w:anchor="TOC">
        <w:bookmarkStart w:id="64" w:name="ny20075344x1_posam_112-transactions_pg1"/>
        <w:bookmarkEnd w:id="6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65" w:name="tRPT"/>
      <w:bookmarkEnd w:id="65"/>
      <w:r>
        <w:rPr>
          <w:rFonts w:ascii="Times New Roman;Times;serif" w:hAnsi="Times New Roman;Times;serif"/>
          <w:b/>
          <w:color w:val="000000"/>
          <w:sz w:val="20"/>
          <w:shd w:fill="FFFFFF" w:val="clear"/>
        </w:rPr>
        <w:t xml:space="preserve">RELATED PARTY TRANSACTIONS </w:t>
      </w:r>
    </w:p>
    <w:p>
      <w:pPr>
        <w:pStyle w:val="TextBody"/>
        <w:bidi w:val="0"/>
        <w:spacing w:before="29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Employment Agreements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See “</w:t>
      </w:r>
      <w:r>
        <w:rPr>
          <w:rFonts w:ascii="Times New Roman;Times;serif" w:hAnsi="Times New Roman;Times;serif"/>
          <w:i/>
          <w:color w:val="000000"/>
          <w:sz w:val="20"/>
          <w:shd w:fill="FFFFFF" w:val="clear"/>
        </w:rPr>
        <w:t>Item 6. Directors, Senior Management and Employees—C. Board Practices—Employment Agreements and Indemnification Agreements</w:t>
      </w:r>
      <w:r>
        <w:rPr>
          <w:rFonts w:ascii="Times New Roman;Times;serif" w:hAnsi="Times New Roman;Times;serif"/>
          <w:color w:val="000000"/>
          <w:sz w:val="20"/>
          <w:shd w:fill="FFFFFF" w:val="clear"/>
        </w:rPr>
        <w:t xml:space="preserve">” in our 2025 Annual Report. </w:t>
      </w:r>
    </w:p>
    <w:p>
      <w:pPr>
        <w:pStyle w:val="TextBody"/>
        <w:bidi w:val="0"/>
        <w:spacing w:before="32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Material Transactions with Related Parties </w:t>
      </w:r>
    </w:p>
    <w:p>
      <w:pPr>
        <w:pStyle w:val="TextBody"/>
        <w:bidi w:val="0"/>
        <w:spacing w:before="14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table below sets forth our major related parties and their relationships with us. </w:t>
      </w:r>
    </w:p>
    <w:tbl>
      <w:tblPr>
        <w:tblW w:w="10205" w:type="dxa"/>
        <w:jc w:val="left"/>
        <w:tblInd w:w="0" w:type="dxa"/>
        <w:tblLayout w:type="fixed"/>
        <w:tblCellMar>
          <w:top w:w="0" w:type="dxa"/>
          <w:left w:w="0" w:type="dxa"/>
          <w:bottom w:w="0" w:type="dxa"/>
          <w:right w:w="0" w:type="dxa"/>
        </w:tblCellMar>
      </w:tblPr>
      <w:tblGrid>
        <w:gridCol w:w="1458"/>
        <w:gridCol w:w="140"/>
        <w:gridCol w:w="140"/>
        <w:gridCol w:w="8467"/>
      </w:tblGrid>
      <w:tr>
        <w:trPr/>
        <w:tc>
          <w:tcPr>
            <w:tcW w:w="14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0"/>
              <w:jc w:val="left"/>
              <w:rPr/>
            </w:pPr>
            <w:r>
              <w:rPr/>
              <w:t> </w:t>
            </w:r>
          </w:p>
        </w:tc>
      </w:tr>
      <w:tr>
        <w:trPr/>
        <w:tc>
          <w:tcPr>
            <w:tcW w:w="145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Names of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Relationship </w:t>
            </w:r>
          </w:p>
        </w:tc>
      </w:tr>
      <w:tr>
        <w:trPr/>
        <w:tc>
          <w:tcPr>
            <w:tcW w:w="1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Zhou Kai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Principal shareholder, chief technology officer, chairman of the board </w:t>
            </w:r>
          </w:p>
        </w:tc>
      </w:tr>
      <w:tr>
        <w:trPr/>
        <w:tc>
          <w:tcPr>
            <w:tcW w:w="14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0"/>
              <w:jc w:val="left"/>
              <w:rPr>
                <w:color w:val="000000"/>
              </w:rPr>
            </w:pPr>
            <w:r>
              <w:rPr>
                <w:color w:val="000000"/>
              </w:rPr>
              <w:t> </w:t>
            </w:r>
          </w:p>
        </w:tc>
      </w:tr>
      <w:tr>
        <w:trPr/>
        <w:tc>
          <w:tcPr>
            <w:tcW w:w="1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Shenzhen Jinhui Technology Co., Ltd. (“Shenzhen Jinhui”)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company previously controlled by Zhou Kai and ceased to be a related party in the fourth quarter of 2025. </w:t>
            </w:r>
          </w:p>
        </w:tc>
      </w:tr>
      <w:tr>
        <w:trPr/>
        <w:tc>
          <w:tcPr>
            <w:tcW w:w="14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0"/>
              <w:jc w:val="left"/>
              <w:rPr>
                <w:color w:val="000000"/>
              </w:rPr>
            </w:pPr>
            <w:r>
              <w:rPr>
                <w:color w:val="000000"/>
              </w:rPr>
              <w:t> </w:t>
            </w:r>
          </w:p>
        </w:tc>
      </w:tr>
      <w:tr>
        <w:trPr/>
        <w:tc>
          <w:tcPr>
            <w:tcW w:w="1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Wealth Guardian Investment Limited (“WGI”)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was able to exercise significant influence over WGI because two individuals, who are the senior management of WGI, are the shareholders of the Company holding more than or approximately 10% aggregate equity interests. WGI is no longer the Company’s customer, effective from October 2025. </w:t>
            </w:r>
          </w:p>
        </w:tc>
      </w:tr>
      <w:tr>
        <w:trPr/>
        <w:tc>
          <w:tcPr>
            <w:tcW w:w="14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0"/>
              <w:jc w:val="left"/>
              <w:rPr>
                <w:color w:val="000000"/>
              </w:rPr>
            </w:pPr>
            <w:r>
              <w:rPr>
                <w:color w:val="000000"/>
              </w:rPr>
              <w:t> </w:t>
            </w:r>
          </w:p>
        </w:tc>
      </w:tr>
      <w:tr>
        <w:trPr/>
        <w:tc>
          <w:tcPr>
            <w:tcW w:w="1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Waton Trust 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 entity where Zhou Kai previously acted as a director. In the third quarter of 2025, Zhou Kai resigned from the directorship and remained as a 20% shareholder. </w:t>
            </w:r>
          </w:p>
        </w:tc>
      </w:tr>
      <w:tr>
        <w:trPr/>
        <w:tc>
          <w:tcPr>
            <w:tcW w:w="14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0"/>
              <w:jc w:val="left"/>
              <w:rPr>
                <w:color w:val="000000"/>
              </w:rPr>
            </w:pPr>
            <w:r>
              <w:rPr>
                <w:color w:val="000000"/>
              </w:rPr>
              <w:t> </w:t>
            </w:r>
          </w:p>
        </w:tc>
      </w:tr>
      <w:tr>
        <w:trPr/>
        <w:tc>
          <w:tcPr>
            <w:tcW w:w="1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 MA Ltd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shareholder, ST MA Ltd, ceased to be a shareholder in June 2023. </w:t>
            </w:r>
          </w:p>
        </w:tc>
      </w:tr>
      <w:tr>
        <w:trPr/>
        <w:tc>
          <w:tcPr>
            <w:tcW w:w="14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0"/>
              <w:jc w:val="left"/>
              <w:rPr>
                <w:color w:val="000000"/>
              </w:rPr>
            </w:pPr>
            <w:r>
              <w:rPr>
                <w:color w:val="000000"/>
              </w:rPr>
              <w:t> </w:t>
            </w:r>
          </w:p>
        </w:tc>
      </w:tr>
      <w:tr>
        <w:trPr/>
        <w:tc>
          <w:tcPr>
            <w:tcW w:w="1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WIG SPC - SPs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An entity incorporated in the Cayman Islands, with 100% of its issued management shares owned by WSI, established for the purpose of holding investment segregated portfolios (each, an “SP” and collectively, the “SPs”). The SPs are each formed for the purpose of investing in securities and are owned by different investors. Effective December 2024, WSI serves as the investment manager of the WIG SPC series SPs. During the six months ended September 30, 2025, there was no management income incurred, and WSI was subsequently re-appointed as a co-investment manager for Z Navigation Option Hedge Fund S.P. (“Z Navigation Option”). In February 2026, Z Navigation Option entered into the liquidation process, which process has not been completed as of the date of the prospectus.</w:t>
            </w:r>
          </w:p>
        </w:tc>
      </w:tr>
      <w:tr>
        <w:trPr/>
        <w:tc>
          <w:tcPr>
            <w:tcW w:w="14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0"/>
              <w:jc w:val="left"/>
              <w:rPr>
                <w:color w:val="000000"/>
              </w:rPr>
            </w:pPr>
            <w:r>
              <w:rPr>
                <w:color w:val="000000"/>
              </w:rPr>
              <w:t> </w:t>
            </w:r>
          </w:p>
        </w:tc>
      </w:tr>
      <w:tr>
        <w:trPr/>
        <w:tc>
          <w:tcPr>
            <w:tcW w:w="14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PandaAI Quantum Holdings Limited and its subsidiaries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wholly-owned BVI subsidiary, Waton AI Genius Holding Limited, holds 7,500,000 preferred shares of PandaAI Quantum Holdings </w:t>
            </w:r>
          </w:p>
        </w:tc>
      </w:tr>
      <w:tr>
        <w:trPr/>
        <w:tc>
          <w:tcPr>
            <w:tcW w:w="14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6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37</w:t>
      </w:r>
    </w:p>
    <w:p>
      <w:pPr>
        <w:pStyle w:val="HorizontalLine"/>
        <w:bidi w:val="0"/>
        <w:spacing w:before="200" w:after="200"/>
        <w:jc w:val="left"/>
        <w:rPr/>
      </w:pPr>
      <w:r>
        <w:rPr/>
      </w:r>
    </w:p>
    <w:p>
      <w:pPr>
        <w:pStyle w:val="TextBody"/>
        <w:bidi w:val="0"/>
        <w:jc w:val="left"/>
        <w:rPr/>
      </w:pPr>
      <w:hyperlink w:anchor="TOC">
        <w:bookmarkStart w:id="66" w:name="ny20075344x1_posam_112-transactions_pg2"/>
        <w:bookmarkEnd w:id="66"/>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180"/>
        <w:gridCol w:w="140"/>
        <w:gridCol w:w="140"/>
        <w:gridCol w:w="8745"/>
      </w:tblGrid>
      <w:tr>
        <w:trPr/>
        <w:tc>
          <w:tcPr>
            <w:tcW w:w="1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5" w:type="dxa"/>
            <w:tcBorders/>
            <w:vAlign w:val="center"/>
          </w:tcPr>
          <w:p>
            <w:pPr>
              <w:pStyle w:val="TableContents"/>
              <w:bidi w:val="0"/>
              <w:spacing w:before="0" w:after="0"/>
              <w:jc w:val="left"/>
              <w:rPr/>
            </w:pPr>
            <w:r>
              <w:rPr/>
              <w:t> </w:t>
            </w:r>
          </w:p>
        </w:tc>
      </w:tr>
      <w:tr>
        <w:trPr/>
        <w:tc>
          <w:tcPr>
            <w:tcW w:w="11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Names of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Relationship </w:t>
            </w:r>
          </w:p>
        </w:tc>
      </w:tr>
      <w:tr>
        <w:trPr/>
        <w:tc>
          <w:tcPr>
            <w:tcW w:w="11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Limited, a Cayman Islands exempted company, representing a minority interest in this vehicle established in cooperation with the founders for the purpose of developing AI-powered quantitative trading initiatives. We appointed two directors out of five directors in total.</w:t>
            </w:r>
          </w:p>
        </w:tc>
      </w:tr>
      <w:tr>
        <w:trPr/>
        <w:tc>
          <w:tcPr>
            <w:tcW w:w="11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5" w:type="dxa"/>
            <w:tcBorders/>
            <w:vAlign w:val="center"/>
          </w:tcPr>
          <w:p>
            <w:pPr>
              <w:pStyle w:val="TableContents"/>
              <w:bidi w:val="0"/>
              <w:spacing w:before="0" w:after="0"/>
              <w:jc w:val="left"/>
              <w:rPr>
                <w:color w:val="000000"/>
              </w:rPr>
            </w:pPr>
            <w:r>
              <w:rPr>
                <w:color w:val="000000"/>
              </w:rPr>
              <w:t> </w:t>
            </w:r>
          </w:p>
        </w:tc>
      </w:tr>
      <w:tr>
        <w:trPr/>
        <w:tc>
          <w:tcPr>
            <w:tcW w:w="1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CTFEX Holding Pte Ltd and its subsidiary;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WTF Asia Holding Limited is our wholly-owned subsidiary. In May 2026, it subscribed for 500,000 shares in CTFEX Holding Pte. Limited (“CTFEX”), a company incorporated in Singapore, for SGD 500,000, representing approximately 42.4% of CTFEX’s share capital. WTF Holding Group Limited, which is 100% owned by our Chairman, Mr. Zhou Kai, holds an additional 6.1% share capital of CTFEX. We appointed one of CTFEX’s two directors. CTFEX and its subsidiary are intended to operate as a tokenized capital markets exchange and clearing house in Singapore (subject to regulatory approvals) but have not yet commenced regulated operations. The parallel investment by the Chairman-controlled entity and our board rights create related-party considerations.</w:t>
            </w:r>
          </w:p>
        </w:tc>
      </w:tr>
      <w:tr>
        <w:trPr/>
        <w:tc>
          <w:tcPr>
            <w:tcW w:w="1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45" w:type="dxa"/>
            <w:tcBorders/>
            <w:vAlign w:val="center"/>
          </w:tcPr>
          <w:p>
            <w:pPr>
              <w:pStyle w:val="TableContents"/>
              <w:bidi w:val="0"/>
              <w:spacing w:before="0" w:after="0"/>
              <w:jc w:val="left"/>
              <w:rPr/>
            </w:pPr>
            <w:r>
              <w:rPr/>
              <w:t> </w:t>
            </w:r>
          </w:p>
        </w:tc>
      </w:tr>
    </w:tbl>
    <w:p>
      <w:pPr>
        <w:pStyle w:val="TextBody"/>
        <w:bidi w:val="0"/>
        <w:spacing w:before="25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Transaction with WIG SPC</w:t>
      </w:r>
      <w:r>
        <w:rPr>
          <w:rFonts w:ascii="Times New Roman;Times;serif" w:hAnsi="Times New Roman;Times;serif"/>
          <w:color w:val="000000"/>
          <w:sz w:val="20"/>
          <w:shd w:fill="FFFFFF" w:val="clear"/>
        </w:rPr>
        <w:t xml:space="preserve">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July 2025, WSI applied to subscribe for and purchase Class VI shares (junior class) in WIG SPC attributable to Z Navigation Option Hedge Fund S.P. in the amount of $1.0 million. </w:t>
      </w:r>
    </w:p>
    <w:p>
      <w:pPr>
        <w:pStyle w:val="TextBody"/>
        <w:bidi w:val="0"/>
        <w:spacing w:before="24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Transactions with WGI</w:t>
      </w:r>
      <w:r>
        <w:rPr>
          <w:rFonts w:ascii="Times New Roman;Times;serif" w:hAnsi="Times New Roman;Times;serif"/>
          <w:color w:val="000000"/>
          <w:sz w:val="20"/>
          <w:shd w:fill="FFFFFF" w:val="clear"/>
        </w:rPr>
        <w:t xml:space="preserve">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have conducted material transactions with WGI through WSI and/or WTI, which entities have been services providers for WGI. These transactions are as follows: </w:t>
      </w:r>
    </w:p>
    <w:tbl>
      <w:tblPr>
        <w:tblW w:w="10175" w:type="dxa"/>
        <w:jc w:val="left"/>
        <w:tblInd w:w="0" w:type="dxa"/>
        <w:tblLayout w:type="fixed"/>
        <w:tblCellMar>
          <w:top w:w="0" w:type="dxa"/>
          <w:left w:w="0" w:type="dxa"/>
          <w:bottom w:w="0" w:type="dxa"/>
          <w:right w:w="0" w:type="dxa"/>
        </w:tblCellMar>
      </w:tblPr>
      <w:tblGrid>
        <w:gridCol w:w="4985"/>
        <w:gridCol w:w="140"/>
        <w:gridCol w:w="140"/>
        <w:gridCol w:w="1055"/>
        <w:gridCol w:w="140"/>
        <w:gridCol w:w="140"/>
        <w:gridCol w:w="950"/>
        <w:gridCol w:w="140"/>
        <w:gridCol w:w="140"/>
        <w:gridCol w:w="1055"/>
        <w:gridCol w:w="140"/>
        <w:gridCol w:w="140"/>
        <w:gridCol w:w="1010"/>
      </w:tblGrid>
      <w:tr>
        <w:trPr/>
        <w:tc>
          <w:tcPr>
            <w:tcW w:w="4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gridSpan w:val="7"/>
            <w:tcBorders/>
            <w:vAlign w:val="center"/>
          </w:tcPr>
          <w:p>
            <w:pPr>
              <w:pStyle w:val="TableContents"/>
              <w:bidi w:val="0"/>
              <w:spacing w:before="0" w:after="0"/>
              <w:jc w:val="left"/>
              <w:rPr/>
            </w:pPr>
            <w:r>
              <w:rPr/>
              <w:t> </w:t>
            </w:r>
          </w:p>
        </w:tc>
      </w:tr>
      <w:tr>
        <w:trPr/>
        <w:tc>
          <w:tcPr>
            <w:tcW w:w="4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September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7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March 31, </w:t>
            </w:r>
          </w:p>
        </w:tc>
      </w:tr>
      <w:tr>
        <w:trPr/>
        <w:tc>
          <w:tcPr>
            <w:tcW w:w="4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4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US$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 clients – unsettled trade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$1,549,709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11,043,210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$5,538,025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 clients – margin loan (net)</w:t>
            </w:r>
            <w:r>
              <w:rPr>
                <w:rFonts w:ascii="Times New Roman;Times;serif" w:hAnsi="Times New Roman;Times;serif"/>
                <w:color w:val="000000"/>
                <w:position w:val="7"/>
                <w:sz w:val="16"/>
                <w:sz w:val="20"/>
              </w:rPr>
              <w:t>(i)(ii)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4" w:right="0" w:hanging="0"/>
              <w:jc w:val="left"/>
              <w:rPr>
                <w:rFonts w:ascii="Times New Roman;Times;serif" w:hAnsi="Times New Roman;Times;serif"/>
                <w:color w:val="000000"/>
                <w:sz w:val="20"/>
              </w:rPr>
            </w:pPr>
            <w:r>
              <w:rPr>
                <w:rFonts w:ascii="Times New Roman;Times;serif" w:hAnsi="Times New Roman;Times;serif"/>
                <w:color w:val="000000"/>
                <w:sz w:val="20"/>
              </w:rPr>
              <w:t>349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3,276,678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1,873,556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98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Receivables – software licensing and related support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20"/>
              </w:rPr>
            </w:pPr>
            <w:r>
              <w:rPr>
                <w:rFonts w:ascii="Times New Roman;Times;serif" w:hAnsi="Times New Roman;Times;serif"/>
                <w:color w:val="000000"/>
                <w:sz w:val="20"/>
              </w:rPr>
              <w:t>1,800,000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1,197,352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 Total</w:t>
            </w:r>
            <w:r>
              <w:rPr>
                <w:rFonts w:ascii="Times New Roman;Times;serif" w:hAnsi="Times New Roman;Times;serif"/>
                <w:color w:val="000000"/>
                <w:position w:val="7"/>
                <w:sz w:val="16"/>
                <w:sz w:val="20"/>
              </w:rPr>
              <w:t>(iii)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4" w:right="0" w:hanging="0"/>
              <w:jc w:val="left"/>
              <w:rPr>
                <w:rFonts w:ascii="Times New Roman;Times;serif" w:hAnsi="Times New Roman;Times;serif"/>
                <w:color w:val="000000"/>
                <w:sz w:val="20"/>
              </w:rPr>
            </w:pPr>
            <w:r>
              <w:rPr>
                <w:rFonts w:ascii="Times New Roman;Times;serif" w:hAnsi="Times New Roman;Times;serif"/>
                <w:color w:val="000000"/>
                <w:sz w:val="20"/>
              </w:rPr>
              <w:t>1,800,349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5,426,387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14,114,118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5,538,025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Contract assets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Payables – brokerage services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4" w:right="0" w:hanging="0"/>
              <w:jc w:val="left"/>
              <w:rPr>
                <w:rFonts w:ascii="Times New Roman;Times;serif" w:hAnsi="Times New Roman;Times;serif"/>
                <w:color w:val="000000"/>
                <w:sz w:val="20"/>
              </w:rPr>
            </w:pPr>
            <w:r>
              <w:rPr>
                <w:rFonts w:ascii="Times New Roman;Times;serif" w:hAnsi="Times New Roman;Times;serif"/>
                <w:color w:val="000000"/>
                <w:sz w:val="20"/>
              </w:rPr>
              <w:t>40,745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1,417,153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13,867,823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7,101,004 </w:t>
            </w:r>
          </w:p>
        </w:tc>
      </w:tr>
      <w:tr>
        <w:trPr/>
        <w:tc>
          <w:tcPr>
            <w:tcW w:w="4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Payables – Broker-dealer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4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75,136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163,635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4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Payables – 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44" w:right="0" w:hanging="0"/>
              <w:jc w:val="left"/>
              <w:rPr>
                <w:rFonts w:ascii="Times New Roman;Times;serif" w:hAnsi="Times New Roman;Times;serif"/>
                <w:color w:val="000000"/>
                <w:sz w:val="20"/>
              </w:rPr>
            </w:pPr>
            <w:r>
              <w:rPr>
                <w:rFonts w:ascii="Times New Roman;Times;serif" w:hAnsi="Times New Roman;Times;serif"/>
                <w:color w:val="000000"/>
                <w:sz w:val="20"/>
              </w:rPr>
              <w:t>40,745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1,492,289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14,031,458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7,101,004</w:t>
            </w:r>
          </w:p>
        </w:tc>
      </w:tr>
      <w:tr>
        <w:trPr/>
        <w:tc>
          <w:tcPr>
            <w:tcW w:w="4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8125" w:type="dxa"/>
        <w:jc w:val="left"/>
        <w:tblInd w:w="0" w:type="dxa"/>
        <w:tblLayout w:type="fixed"/>
        <w:tblCellMar>
          <w:top w:w="0" w:type="dxa"/>
          <w:left w:w="0" w:type="dxa"/>
          <w:bottom w:w="0" w:type="dxa"/>
          <w:right w:w="0" w:type="dxa"/>
        </w:tblCellMar>
      </w:tblPr>
      <w:tblGrid>
        <w:gridCol w:w="185"/>
        <w:gridCol w:w="794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w:t>
            </w:r>
          </w:p>
        </w:tc>
        <w:tc>
          <w:tcPr>
            <w:tcW w:w="79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WSI extended a credit line of $6.2 million to WGI for margin transactions during the year ended March 31, 2025.</w:t>
            </w:r>
          </w:p>
        </w:tc>
      </w:tr>
    </w:tbl>
    <w:p>
      <w:pPr>
        <w:pStyle w:val="TextBody"/>
        <w:bidi w:val="0"/>
        <w:spacing w:before="60" w:after="283"/>
        <w:ind w:left="400" w:right="0" w:hanging="0"/>
        <w:jc w:val="both"/>
        <w:rPr>
          <w:rFonts w:ascii="Times New Roman;Times;serif" w:hAnsi="Times New Roman;Times;serif"/>
          <w:color w:val="000000"/>
          <w:sz w:val="16"/>
          <w:shd w:fill="FFFFFF" w:val="clear"/>
        </w:rPr>
      </w:pPr>
      <w:r>
        <w:rPr>
          <w:rFonts w:ascii="Times New Roman;Times;serif" w:hAnsi="Times New Roman;Times;serif"/>
          <w:color w:val="000000"/>
          <w:sz w:val="16"/>
          <w:shd w:fill="FFFFFF" w:val="clear"/>
        </w:rPr>
        <w:t xml:space="preserve">WSI extended a credit line of nil and $4.3 million to WGI for margin transactions during the six months ended September 30, 2025 and 2024, respectively.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(ii)</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September 30, 2025, March 31, 2025, 2024 and 2023, the amounts consisted of margin loan receivables of nil, $3.5 million, $3.6 million and nil, net of client payables of nil, $0.2 million, $1.7 million and nil, respectively.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(iii)</w:t>
            </w:r>
          </w:p>
        </w:tc>
        <w:tc>
          <w:tcPr>
            <w:tcW w:w="995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September 30, 2025, March 31, 2025, 2024 and 2023, receivables from this customer, including margin loan receivables, have been either fully collateralized by the client-owned securities held in the customer’s account or fully collected.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38</w:t>
      </w:r>
    </w:p>
    <w:p>
      <w:pPr>
        <w:pStyle w:val="HorizontalLine"/>
        <w:bidi w:val="0"/>
        <w:spacing w:before="200" w:after="200"/>
        <w:jc w:val="left"/>
        <w:rPr/>
      </w:pPr>
      <w:r>
        <w:rPr/>
      </w:r>
    </w:p>
    <w:p>
      <w:pPr>
        <w:pStyle w:val="TextBody"/>
        <w:bidi w:val="0"/>
        <w:jc w:val="left"/>
        <w:rPr/>
      </w:pPr>
      <w:hyperlink w:anchor="TOC">
        <w:bookmarkStart w:id="67" w:name="ny20075344x1_posam_112-transactions_pg3"/>
        <w:bookmarkEnd w:id="67"/>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4040"/>
        <w:gridCol w:w="140"/>
        <w:gridCol w:w="140"/>
        <w:gridCol w:w="950"/>
        <w:gridCol w:w="140"/>
        <w:gridCol w:w="140"/>
        <w:gridCol w:w="950"/>
        <w:gridCol w:w="140"/>
        <w:gridCol w:w="140"/>
        <w:gridCol w:w="950"/>
        <w:gridCol w:w="140"/>
        <w:gridCol w:w="140"/>
        <w:gridCol w:w="950"/>
        <w:gridCol w:w="140"/>
        <w:gridCol w:w="140"/>
        <w:gridCol w:w="965"/>
      </w:tblGrid>
      <w:tr>
        <w:trPr/>
        <w:tc>
          <w:tcPr>
            <w:tcW w:w="4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5" w:type="dxa"/>
            <w:gridSpan w:val="7"/>
            <w:tcBorders/>
            <w:vAlign w:val="center"/>
          </w:tcPr>
          <w:p>
            <w:pPr>
              <w:pStyle w:val="TableContents"/>
              <w:bidi w:val="0"/>
              <w:spacing w:before="0" w:after="0"/>
              <w:jc w:val="left"/>
              <w:rPr/>
            </w:pPr>
            <w:r>
              <w:rPr/>
              <w:t> </w:t>
            </w:r>
          </w:p>
        </w:tc>
      </w:tr>
      <w:tr>
        <w:trPr/>
        <w:tc>
          <w:tcPr>
            <w:tcW w:w="40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September 30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the years ended</w:t>
            </w:r>
          </w:p>
        </w:tc>
      </w:tr>
      <w:tr>
        <w:trPr/>
        <w:tc>
          <w:tcPr>
            <w:tcW w:w="40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r>
      <w:tr>
        <w:trPr/>
        <w:tc>
          <w:tcPr>
            <w:tcW w:w="40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r>
      <w:tr>
        <w:trPr/>
        <w:tc>
          <w:tcPr>
            <w:tcW w:w="40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Revenues – brokerage commission and handling charge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$1,388,432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892,837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$2,539,260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$1,757,731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$1,707,334</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 –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446,360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520,183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1,040,634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1,016,179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181,550</w:t>
            </w:r>
          </w:p>
        </w:tc>
      </w:tr>
      <w:tr>
        <w:trPr/>
        <w:tc>
          <w:tcPr>
            <w:tcW w:w="404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Revenues – software licensing and related support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1,200,000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1,197,551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2,786,105</w:t>
            </w:r>
          </w:p>
        </w:tc>
      </w:tr>
      <w:tr>
        <w:trPr/>
        <w:tc>
          <w:tcPr>
            <w:tcW w:w="404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$2,234,792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$2,013,020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$4,779,894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$3,971,461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$4,674,989</w:t>
            </w:r>
          </w:p>
        </w:tc>
      </w:tr>
      <w:tr>
        <w:trPr/>
        <w:tc>
          <w:tcPr>
            <w:tcW w:w="4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bl>
    <w:p>
      <w:pPr>
        <w:pStyle w:val="TextBody"/>
        <w:bidi w:val="0"/>
        <w:spacing w:before="275"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the six months ended September 30, 2025 and 2024, the Company recognized software licensing and related support services revenue of $400,000 and $600,000, respectively, before invoicing to WGI. The amount was recorded under contract assets – related party in the unaudited condensed consolidated balance sheets.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Effective October 2025, WGI has dissolved investment accounts in the Company, therefore, WGI is no longer a customer of the Company after October 2025.</w:t>
      </w:r>
    </w:p>
    <w:p>
      <w:pPr>
        <w:pStyle w:val="TextBody"/>
        <w:bidi w:val="0"/>
        <w:spacing w:before="410" w:after="283"/>
        <w:ind w:left="0" w:right="0" w:hanging="0"/>
        <w:jc w:val="left"/>
        <w:rPr>
          <w:rFonts w:ascii="Times New Roman;Times;serif" w:hAnsi="Times New Roman;Times;serif"/>
          <w:color w:val="000000"/>
          <w:sz w:val="20"/>
          <w:u w:val="single"/>
          <w:shd w:fill="FFFFFF" w:val="clear"/>
        </w:rPr>
      </w:pPr>
      <w:r>
        <w:rPr>
          <w:rFonts w:ascii="Times New Roman;Times;serif" w:hAnsi="Times New Roman;Times;serif"/>
          <w:color w:val="000000"/>
          <w:sz w:val="20"/>
          <w:u w:val="single"/>
          <w:shd w:fill="FFFFFF" w:val="clear"/>
        </w:rPr>
        <w:t>Transactions with Zhou Kai</w:t>
      </w:r>
    </w:p>
    <w:p>
      <w:pPr>
        <w:pStyle w:val="TextBody"/>
        <w:bidi w:val="0"/>
        <w:spacing w:before="15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conducts transactions with Zhou Kai through WSI. These transactions are as follows: </w:t>
      </w:r>
    </w:p>
    <w:tbl>
      <w:tblPr>
        <w:tblW w:w="6680" w:type="dxa"/>
        <w:jc w:val="left"/>
        <w:tblInd w:w="0" w:type="dxa"/>
        <w:tblLayout w:type="fixed"/>
        <w:tblCellMar>
          <w:top w:w="0" w:type="dxa"/>
          <w:left w:w="0" w:type="dxa"/>
          <w:bottom w:w="0" w:type="dxa"/>
          <w:right w:w="0" w:type="dxa"/>
        </w:tblCellMar>
      </w:tblPr>
      <w:tblGrid>
        <w:gridCol w:w="2930"/>
        <w:gridCol w:w="140"/>
        <w:gridCol w:w="140"/>
        <w:gridCol w:w="1475"/>
        <w:gridCol w:w="140"/>
        <w:gridCol w:w="140"/>
        <w:gridCol w:w="380"/>
        <w:gridCol w:w="140"/>
        <w:gridCol w:w="140"/>
        <w:gridCol w:w="380"/>
        <w:gridCol w:w="140"/>
        <w:gridCol w:w="140"/>
        <w:gridCol w:w="395"/>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7"/>
            <w:tcBorders/>
            <w:vAlign w:val="center"/>
          </w:tcPr>
          <w:p>
            <w:pPr>
              <w:pStyle w:val="TableContents"/>
              <w:bidi w:val="0"/>
              <w:spacing w:before="0" w:after="0"/>
              <w:jc w:val="left"/>
              <w:rPr/>
            </w:pPr>
            <w:r>
              <w:rPr/>
              <w:t>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September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March 31,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 clients – margin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428"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1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60" w:right="0" w:hanging="0"/>
              <w:jc w:val="left"/>
              <w:rPr>
                <w:color w:val="000000"/>
                <w:bdr w:val="double" w:sz="8" w:space="1" w:color="000000"/>
              </w:rPr>
            </w:pPr>
            <w:r>
              <w:rPr>
                <w:color w:val="00000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0" w:right="0" w:hanging="0"/>
              <w:jc w:val="left"/>
              <w:rPr>
                <w:color w:val="000000"/>
                <w:bdr w:val="double" w:sz="8" w:space="1" w:color="000000"/>
              </w:rPr>
            </w:pPr>
            <w:r>
              <w:rPr>
                <w:color w:val="000000"/>
                <w:bdr w:val="double" w:sz="8" w:space="1" w:color="000000"/>
              </w:rPr>
              <w:t>—</w:t>
            </w:r>
          </w:p>
        </w:tc>
      </w:tr>
      <w:tr>
        <w:trPr/>
        <w:tc>
          <w:tcPr>
            <w:tcW w:w="29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r>
    </w:tbl>
    <w:tbl>
      <w:tblPr>
        <w:tblW w:w="9319" w:type="dxa"/>
        <w:jc w:val="left"/>
        <w:tblInd w:w="0" w:type="dxa"/>
        <w:tblLayout w:type="fixed"/>
        <w:tblCellMar>
          <w:top w:w="0" w:type="dxa"/>
          <w:left w:w="0" w:type="dxa"/>
          <w:bottom w:w="0" w:type="dxa"/>
          <w:right w:w="0" w:type="dxa"/>
        </w:tblCellMar>
      </w:tblPr>
      <w:tblGrid>
        <w:gridCol w:w="5210"/>
        <w:gridCol w:w="140"/>
        <w:gridCol w:w="140"/>
        <w:gridCol w:w="836"/>
        <w:gridCol w:w="198"/>
        <w:gridCol w:w="198"/>
        <w:gridCol w:w="602"/>
        <w:gridCol w:w="140"/>
        <w:gridCol w:w="140"/>
        <w:gridCol w:w="380"/>
        <w:gridCol w:w="140"/>
        <w:gridCol w:w="140"/>
        <w:gridCol w:w="380"/>
        <w:gridCol w:w="140"/>
        <w:gridCol w:w="140"/>
        <w:gridCol w:w="395"/>
      </w:tblGrid>
      <w:tr>
        <w:trPr/>
        <w:tc>
          <w:tcPr>
            <w:tcW w:w="52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7"/>
            <w:tcBorders/>
            <w:vAlign w:val="center"/>
          </w:tcPr>
          <w:p>
            <w:pPr>
              <w:pStyle w:val="TableContents"/>
              <w:bidi w:val="0"/>
              <w:spacing w:before="0" w:after="0"/>
              <w:jc w:val="left"/>
              <w:rPr/>
            </w:pPr>
            <w:r>
              <w:rPr/>
              <w:t> </w:t>
            </w:r>
          </w:p>
        </w:tc>
      </w:tr>
      <w:tr>
        <w:trPr/>
        <w:tc>
          <w:tcPr>
            <w:tcW w:w="5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3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the six months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1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the years ended</w:t>
            </w:r>
          </w:p>
        </w:tc>
      </w:tr>
      <w:tr>
        <w:trPr/>
        <w:tc>
          <w:tcPr>
            <w:tcW w:w="5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6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r>
      <w:tr>
        <w:trPr/>
        <w:tc>
          <w:tcPr>
            <w:tcW w:w="5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6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r>
      <w:tr>
        <w:trPr/>
        <w:tc>
          <w:tcPr>
            <w:tcW w:w="5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 – brokerage commission and handling charge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$2,065</w:t>
            </w:r>
          </w:p>
        </w:tc>
        <w:tc>
          <w:tcPr>
            <w:tcW w:w="198" w:type="dxa"/>
            <w:tcBorders/>
            <w:shd w:fill="CCEEFF" w:val="clear"/>
            <w:vAlign w:val="center"/>
          </w:tcPr>
          <w:p>
            <w:pPr>
              <w:pStyle w:val="TableContents"/>
              <w:bidi w:val="0"/>
              <w:spacing w:before="0" w:after="0"/>
              <w:jc w:val="left"/>
              <w:rPr/>
            </w:pPr>
            <w:r>
              <w:rPr/>
              <w:t> </w:t>
            </w:r>
          </w:p>
        </w:tc>
        <w:tc>
          <w:tcPr>
            <w:tcW w:w="198" w:type="dxa"/>
            <w:tcBorders/>
            <w:shd w:fill="CCEEFF" w:val="clear"/>
            <w:vAlign w:val="center"/>
          </w:tcPr>
          <w:p>
            <w:pPr>
              <w:pStyle w:val="TableContents"/>
              <w:bidi w:val="0"/>
              <w:spacing w:before="0" w:after="0"/>
              <w:jc w:val="left"/>
              <w:rPr/>
            </w:pPr>
            <w:r>
              <w:rPr/>
              <w:t> </w:t>
            </w:r>
          </w:p>
        </w:tc>
        <w:tc>
          <w:tcPr>
            <w:tcW w:w="602" w:type="dxa"/>
            <w:tcBorders/>
            <w:shd w:fill="CCEEFF" w:val="clear"/>
            <w:vAlign w:val="center"/>
          </w:tcPr>
          <w:p>
            <w:pPr>
              <w:pStyle w:val="TableContents"/>
              <w:bidi w:val="0"/>
              <w:spacing w:before="0" w:after="283"/>
              <w:ind w:left="20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 –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6" w:type="dxa"/>
            <w:tcBorders/>
            <w:vAlign w:val="center"/>
          </w:tcPr>
          <w:p>
            <w:pPr>
              <w:pStyle w:val="TableContents"/>
              <w:bidi w:val="0"/>
              <w:spacing w:before="0" w:after="283"/>
              <w:ind w:left="19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6,448</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602" w:type="dxa"/>
            <w:tcBorders/>
            <w:vAlign w:val="center"/>
          </w:tcPr>
          <w:p>
            <w:pPr>
              <w:pStyle w:val="TableContents"/>
              <w:bidi w:val="0"/>
              <w:spacing w:before="0" w:after="283"/>
              <w:ind w:left="206"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4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42"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42" w:right="0" w:hanging="0"/>
              <w:jc w:val="left"/>
              <w:rPr>
                <w:color w:val="000000"/>
                <w:bdr w:val="single" w:sz="8" w:space="2" w:color="000000"/>
              </w:rPr>
            </w:pPr>
            <w:r>
              <w:rPr>
                <w:color w:val="000000"/>
                <w:bdr w:val="single" w:sz="8" w:space="2" w:color="000000"/>
              </w:rPr>
              <w:t>—</w:t>
            </w:r>
          </w:p>
        </w:tc>
      </w:tr>
      <w:tr>
        <w:trPr/>
        <w:tc>
          <w:tcPr>
            <w:tcW w:w="5210"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$8,513</w:t>
            </w:r>
          </w:p>
        </w:tc>
        <w:tc>
          <w:tcPr>
            <w:tcW w:w="198" w:type="dxa"/>
            <w:tcBorders/>
            <w:shd w:fill="CCEEFF" w:val="clear"/>
            <w:vAlign w:val="center"/>
          </w:tcPr>
          <w:p>
            <w:pPr>
              <w:pStyle w:val="TableContents"/>
              <w:bidi w:val="0"/>
              <w:spacing w:before="0" w:after="0"/>
              <w:jc w:val="left"/>
              <w:rPr/>
            </w:pPr>
            <w:r>
              <w:rPr/>
              <w:t> </w:t>
            </w:r>
          </w:p>
        </w:tc>
        <w:tc>
          <w:tcPr>
            <w:tcW w:w="198" w:type="dxa"/>
            <w:tcBorders/>
            <w:shd w:fill="CCEEFF" w:val="clear"/>
            <w:vAlign w:val="center"/>
          </w:tcPr>
          <w:p>
            <w:pPr>
              <w:pStyle w:val="TableContents"/>
              <w:bidi w:val="0"/>
              <w:spacing w:before="0" w:after="0"/>
              <w:jc w:val="left"/>
              <w:rPr/>
            </w:pPr>
            <w:r>
              <w:rPr/>
              <w:t> </w:t>
            </w:r>
          </w:p>
        </w:tc>
        <w:tc>
          <w:tcPr>
            <w:tcW w:w="602" w:type="dxa"/>
            <w:tcBorders/>
            <w:shd w:fill="CCEEFF" w:val="clear"/>
            <w:vAlign w:val="center"/>
          </w:tcPr>
          <w:p>
            <w:pPr>
              <w:pStyle w:val="TableContents"/>
              <w:bidi w:val="0"/>
              <w:spacing w:before="0" w:after="283"/>
              <w:ind w:left="20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42"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rPr/>
        <w:tc>
          <w:tcPr>
            <w:tcW w:w="52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6" w:type="dxa"/>
            <w:tcBorders/>
            <w:shd w:fill="CCEEFF" w:val="clear"/>
            <w:vAlign w:val="center"/>
          </w:tcPr>
          <w:p>
            <w:pPr>
              <w:pStyle w:val="TableContents"/>
              <w:bidi w:val="0"/>
              <w:spacing w:before="0" w:after="0"/>
              <w:jc w:val="left"/>
              <w:rPr/>
            </w:pPr>
            <w:r>
              <w:rPr/>
              <w:t> </w:t>
            </w:r>
          </w:p>
        </w:tc>
        <w:tc>
          <w:tcPr>
            <w:tcW w:w="198" w:type="dxa"/>
            <w:tcBorders/>
            <w:shd w:fill="CCEEFF" w:val="clear"/>
            <w:vAlign w:val="center"/>
          </w:tcPr>
          <w:p>
            <w:pPr>
              <w:pStyle w:val="TableContents"/>
              <w:bidi w:val="0"/>
              <w:spacing w:before="0" w:after="0"/>
              <w:jc w:val="left"/>
              <w:rPr/>
            </w:pPr>
            <w:r>
              <w:rPr/>
              <w:t> </w:t>
            </w:r>
          </w:p>
        </w:tc>
        <w:tc>
          <w:tcPr>
            <w:tcW w:w="198" w:type="dxa"/>
            <w:tcBorders/>
            <w:shd w:fill="CCEEFF" w:val="clear"/>
            <w:vAlign w:val="center"/>
          </w:tcPr>
          <w:p>
            <w:pPr>
              <w:pStyle w:val="TableContents"/>
              <w:bidi w:val="0"/>
              <w:spacing w:before="0" w:after="0"/>
              <w:jc w:val="left"/>
              <w:rPr/>
            </w:pPr>
            <w:r>
              <w:rPr/>
              <w:t> </w:t>
            </w:r>
          </w:p>
        </w:tc>
        <w:tc>
          <w:tcPr>
            <w:tcW w:w="60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color w:val="000000"/>
          <w:sz w:val="20"/>
          <w:u w:val="single"/>
          <w:shd w:fill="FFFFFF" w:val="clear"/>
        </w:rPr>
      </w:pPr>
      <w:r>
        <w:rPr>
          <w:rFonts w:ascii="Times New Roman;Times;serif" w:hAnsi="Times New Roman;Times;serif"/>
          <w:color w:val="000000"/>
          <w:sz w:val="20"/>
          <w:u w:val="single"/>
          <w:shd w:fill="FFFFFF" w:val="clear"/>
        </w:rPr>
        <w:t>Transactions with WIG SPC</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July 2025, WSI subscribed for $1,000,000 Class VI Shares of Z Navigation Option Hedge Fund S.P. at the subscription price of $15 per share. Z Navigation Option Hedge Fund S.P., a segregated portfolio under WIG SPC and with WSI as its co-investment manager, commenced the liquidation process, which process has not been completed as of the date of this prospectus.</w:t>
      </w:r>
    </w:p>
    <w:p>
      <w:pPr>
        <w:pStyle w:val="TextBody"/>
        <w:bidi w:val="0"/>
        <w:spacing w:before="41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Due from ST MA Ltd</w:t>
      </w:r>
      <w:r>
        <w:rPr>
          <w:rFonts w:ascii="Times New Roman;Times;serif" w:hAnsi="Times New Roman;Times;serif"/>
          <w:color w:val="000000"/>
          <w:sz w:val="20"/>
          <w:shd w:fill="FFFFFF" w:val="clear"/>
        </w:rPr>
        <w:t xml:space="preserve">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April 2023, the Company made a loan in the amount of US$447,000 (approximately HK$3.5 million) to ST MA LTD, a related party as of that time. The loan is unsecured during the period from April 2023 to October 2024, and subsequently is collateralized by securities held in the account of ST MA LTD, bears no interest and is due on demand. ST MA LTD ceased to be a related party in June 2023, because ST MA LTD ceased to be a shareholder of the Company. The amount due from ST MA Ltd was recorded in prepaid expenses and other current assets as of March 31, 2024 and 2025, respectively. The amount was subsequently recovered in full in April 2026.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39</w:t>
      </w:r>
    </w:p>
    <w:p>
      <w:pPr>
        <w:pStyle w:val="HorizontalLine"/>
        <w:bidi w:val="0"/>
        <w:spacing w:before="200" w:after="200"/>
        <w:jc w:val="left"/>
        <w:rPr/>
      </w:pPr>
      <w:r>
        <w:rPr/>
      </w:r>
    </w:p>
    <w:p>
      <w:pPr>
        <w:pStyle w:val="TextBody"/>
        <w:bidi w:val="0"/>
        <w:jc w:val="left"/>
        <w:rPr/>
      </w:pPr>
      <w:hyperlink w:anchor="TOC">
        <w:bookmarkStart w:id="68" w:name="ny20075344x1_posam_112-transactions_pg4"/>
        <w:bookmarkEnd w:id="6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Due to related parties</w:t>
      </w:r>
      <w:r>
        <w:rPr>
          <w:rFonts w:ascii="Times New Roman;Times;serif" w:hAnsi="Times New Roman;Times;serif"/>
          <w:color w:val="000000"/>
          <w:sz w:val="20"/>
          <w:shd w:fill="FFFFFF" w:val="clear"/>
        </w:rPr>
        <w:t xml:space="preserve"> </w:t>
      </w:r>
    </w:p>
    <w:tbl>
      <w:tblPr>
        <w:tblW w:w="7385" w:type="dxa"/>
        <w:jc w:val="left"/>
        <w:tblInd w:w="0" w:type="dxa"/>
        <w:tblLayout w:type="fixed"/>
        <w:tblCellMar>
          <w:top w:w="0" w:type="dxa"/>
          <w:left w:w="0" w:type="dxa"/>
          <w:bottom w:w="0" w:type="dxa"/>
          <w:right w:w="0" w:type="dxa"/>
        </w:tblCellMar>
      </w:tblPr>
      <w:tblGrid>
        <w:gridCol w:w="1850"/>
        <w:gridCol w:w="140"/>
        <w:gridCol w:w="140"/>
        <w:gridCol w:w="1475"/>
        <w:gridCol w:w="140"/>
        <w:gridCol w:w="140"/>
        <w:gridCol w:w="1190"/>
        <w:gridCol w:w="140"/>
        <w:gridCol w:w="140"/>
        <w:gridCol w:w="845"/>
        <w:gridCol w:w="140"/>
        <w:gridCol w:w="140"/>
        <w:gridCol w:w="905"/>
      </w:tblGrid>
      <w:tr>
        <w:trPr/>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gridSpan w:val="4"/>
            <w:tcBorders/>
            <w:vAlign w:val="center"/>
          </w:tcPr>
          <w:p>
            <w:pPr>
              <w:pStyle w:val="TableContents"/>
              <w:bidi w:val="0"/>
              <w:spacing w:before="0" w:after="0"/>
              <w:jc w:val="left"/>
              <w:rPr/>
            </w:pPr>
            <w:r>
              <w:rPr/>
              <w:t> </w:t>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September 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March 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March 31, </w:t>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w:t>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US$ </w:t>
            </w:r>
          </w:p>
        </w:tc>
      </w:tr>
      <w:tr>
        <w:trPr/>
        <w:tc>
          <w:tcPr>
            <w:tcW w:w="1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Zhou Kai</w:t>
            </w:r>
            <w:r>
              <w:rPr>
                <w:rFonts w:ascii="Times New Roman;Times;serif" w:hAnsi="Times New Roman;Times;serif"/>
                <w:color w:val="000000"/>
                <w:position w:val="7"/>
                <w:sz w:val="16"/>
                <w:sz w:val="20"/>
              </w:rPr>
              <w:t>(i)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12,505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31,682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1,830,092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5,276,423 </w:t>
            </w:r>
          </w:p>
        </w:tc>
      </w:tr>
      <w:tr>
        <w:trPr/>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Shenzhen Jinhui</w:t>
            </w:r>
            <w:r>
              <w:rPr>
                <w:rFonts w:ascii="Times New Roman;Times;serif" w:hAnsi="Times New Roman;Times;serif"/>
                <w:color w:val="000000"/>
                <w:position w:val="7"/>
                <w:sz w:val="16"/>
                <w:sz w:val="20"/>
              </w:rPr>
              <w:t>(ii)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75" w:type="dxa"/>
            <w:tcBorders/>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2,528,305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65" w:right="0" w:hanging="0"/>
              <w:jc w:val="left"/>
              <w:rPr>
                <w:rFonts w:ascii="Times New Roman;Times;serif" w:hAnsi="Times New Roman;Times;serif"/>
                <w:color w:val="000000"/>
                <w:sz w:val="20"/>
              </w:rPr>
            </w:pPr>
            <w:r>
              <w:rPr>
                <w:rFonts w:ascii="Times New Roman;Times;serif" w:hAnsi="Times New Roman;Times;serif"/>
                <w:color w:val="000000"/>
                <w:sz w:val="20"/>
              </w:rPr>
              <w:t>1,766,092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772,040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611,566 </w:t>
            </w:r>
          </w:p>
        </w:tc>
      </w:tr>
      <w:tr>
        <w:trPr/>
        <w:tc>
          <w:tcPr>
            <w:tcW w:w="18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Due to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283"/>
              <w:ind w:left="303" w:right="0" w:hanging="0"/>
              <w:jc w:val="left"/>
              <w:rPr>
                <w:rFonts w:ascii="Times New Roman;Times;serif" w:hAnsi="Times New Roman;Times;serif"/>
                <w:b/>
                <w:color w:val="000000"/>
                <w:sz w:val="20"/>
              </w:rPr>
            </w:pPr>
            <w:r>
              <w:rPr>
                <w:rFonts w:ascii="Times New Roman;Times;serif" w:hAnsi="Times New Roman;Times;serif"/>
                <w:b/>
                <w:color w:val="000000"/>
                <w:sz w:val="20"/>
              </w:rPr>
              <w:t>2,540,810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65" w:right="0" w:hanging="0"/>
              <w:jc w:val="left"/>
              <w:rPr>
                <w:rFonts w:ascii="Times New Roman;Times;serif" w:hAnsi="Times New Roman;Times;serif"/>
                <w:b/>
                <w:color w:val="000000"/>
                <w:sz w:val="20"/>
              </w:rPr>
            </w:pPr>
            <w:r>
              <w:rPr>
                <w:rFonts w:ascii="Times New Roman;Times;serif" w:hAnsi="Times New Roman;Times;serif"/>
                <w:b/>
                <w:color w:val="000000"/>
                <w:sz w:val="20"/>
              </w:rPr>
              <w:t>1,797,774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2,602,132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5,887,989</w:t>
            </w:r>
          </w:p>
        </w:tc>
      </w:tr>
      <w:tr>
        <w:trPr/>
        <w:tc>
          <w:tcPr>
            <w:tcW w:w="18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w:t>
            </w:r>
          </w:p>
        </w:tc>
        <w:tc>
          <w:tcPr>
            <w:tcW w:w="1006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balance represents borrowings from Zhou Kai for the Company’s daily operational purposes. The borrowings are interest-free, unsecured and due on demand. During the years ended March 31, 2025, 2024 and 2023, the Company borrowed from Zhou Kai $0.03 million, $1.8 million and $5.3 million, respectively. During the year ended March 31, 2024, the Company disposed certain portion of its other investment to Zhou Kai at a consideration of approximately $2.0 million and the amount was settled with payable with Zhou Kai.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(ii)</w:t>
            </w:r>
          </w:p>
        </w:tc>
        <w:tc>
          <w:tcPr>
            <w:tcW w:w="100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balance represents unpaid service fees to Shenzhen Jinhui, a service provider and sub-contractor of the Company’s project management services. Based on the services agreement, Shenzhen Jinhui charges the Company certain percents of markup above its costs relating to service provided to the Company. During the years ended March 31, 2025, 2024 and 2023, the Company purchased outsourcing and related support services of approximately $1.0 million, $0.7 million and $0.6 million, respectively, from Shenzhen Jinhui which were recorded as software licensing and related support outsourcing costs.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40</w:t>
      </w:r>
    </w:p>
    <w:p>
      <w:pPr>
        <w:pStyle w:val="HorizontalLine"/>
        <w:bidi w:val="0"/>
        <w:spacing w:before="200" w:after="200"/>
        <w:jc w:val="left"/>
        <w:rPr/>
      </w:pPr>
      <w:r>
        <w:rPr/>
      </w:r>
    </w:p>
    <w:p>
      <w:pPr>
        <w:pStyle w:val="TextBody"/>
        <w:bidi w:val="0"/>
        <w:jc w:val="left"/>
        <w:rPr/>
      </w:pPr>
      <w:hyperlink w:anchor="TOC">
        <w:bookmarkStart w:id="69" w:name="ny20075344x1_posam_113-description_pg1"/>
        <w:bookmarkEnd w:id="6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70" w:name="tDES"/>
      <w:bookmarkEnd w:id="70"/>
      <w:r>
        <w:rPr>
          <w:rFonts w:ascii="Times New Roman;Times;serif" w:hAnsi="Times New Roman;Times;serif"/>
          <w:b/>
          <w:color w:val="000000"/>
          <w:sz w:val="20"/>
          <w:shd w:fill="FFFFFF" w:val="clear"/>
        </w:rPr>
        <w:t xml:space="preserve">DESCRIPTION OF SHARE CAPITAL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were incorporated as a BVI business company under the BVI Companies Act on June 25, 2010. We are authorized to issue an unlimited number of Ordinary Shares of no par value. As of the date of this prospectus, 48,237,472 Ordinary Shares are issued and outstanding. The following are summaries of the material provisions of our Memorandum and Articles of Association; copies of these documents are filed as exhibits to the registration statement of which this prospectus forms a part.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Ordinary Shares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All of our issued and outstanding Ordinary Shares are fully paid and non-assessable. Certificates (if any) evidencing the shares are issued in registered form. 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 Under the BVI Companies Act, the Ordinary Shares are deemed to be issued when the name of the shareholder is entered in our register of members. If (a) information that is required to be entered in the register of members is omitted from the register or is inaccurately entered in the register, or (b) there is unreasonable delay in entering information in the register, a shareholder of the company, or any person who is aggrieved by the omission, inaccuracy or delay, may apply to the British Virgin Islands Courts for an order that the register be rectified, and the court may either refuse the application or order the rectification of the register, and may direct the company to pay all costs of the application and any damages the applicant may have sustained.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are authorized to issue an unlimited number of Ordinary Shares of with no par value. Subject to the provisions of the BVI Companies Act and our articles regarding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Such authority could be exercised by the directors to allot shares which carry rights and privileges that are preferential to the rights attaching to Ordinary Shares. No share may be issued at a discount except in accordance with the provisions of the BVI Companies Act. The directors may refuse to accept any application for shares, and may accept any application in whole or in part, for any reason or for no reason.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Upon completion of this offering, there will be 53,597,191 Ordinary Shares issued and outstanding assuming the sale of all the Ordinary Shares being offered in this offering. Ordinary Shares sold in this offering will be delivered against payment upon the closing of the offering in New York, New York, on or about [•], 2026.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further information on our share capital and the material provisions of our memorandum and articles of association, please read “</w:t>
      </w:r>
      <w:r>
        <w:rPr>
          <w:rFonts w:ascii="Times New Roman;Times;serif" w:hAnsi="Times New Roman;Times;serif"/>
          <w:i/>
          <w:color w:val="000000"/>
          <w:sz w:val="20"/>
          <w:shd w:fill="FFFFFF" w:val="clear"/>
        </w:rPr>
        <w:t>Description of Securities</w:t>
      </w:r>
      <w:r>
        <w:rPr>
          <w:rFonts w:ascii="Times New Roman;Times;serif" w:hAnsi="Times New Roman;Times;serif"/>
          <w:color w:val="000000"/>
          <w:sz w:val="20"/>
          <w:shd w:fill="FFFFFF" w:val="clear"/>
        </w:rPr>
        <w:t xml:space="preserve">” that is attached as Exhibit 2.2 to our 2025 Annual Report, which is incorporated by reference into this prospectus. </w:t>
      </w:r>
    </w:p>
    <w:p>
      <w:pPr>
        <w:pStyle w:val="TextBody"/>
        <w:bidi w:val="0"/>
        <w:spacing w:before="40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History of Share Capital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were incorporated in the British Virgin Islands on June 25, 2010 and we were authorized to issue an unlimited number of ordinary shares with a par value of US$1.00 each at the time of incorporation. We issued 2,830,000 ordinary shares to certain founding shareholder. On April 21, 2022, such shares were acquired by Waton Corporation Limited through multiple transfers. On December 14, 2022, we issued 10,000,000 ordinary shares to Waton Corporation Limited for a consideration of HK$86,917,209.76.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September 5, 2023, the Company repurchased 4,000,000 ordinary shares held by Waton Corporation Limited for a consideration of US$4,000,000.00. The total number of ordinary shares held by Waton Corporation Limited as of such date was 8,830,000 of par value of US$1.00 each. </w:t>
      </w:r>
    </w:p>
    <w:p>
      <w:pPr>
        <w:pStyle w:val="TextBody"/>
        <w:bidi w:val="0"/>
        <w:spacing w:before="16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October 12, 2023, our board of directors approved the following: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Issuance of 1 ordinary share in the Company to Waton Corporation Limited, after which, there were 8,830,001 ordinary shares of par value of US$1.00 each held by Waton Corporation Limited;</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Repurchase of 8,830,000 ordinary shares of par value of US$1.00 each held by Waton Corporation Limited for a consideration of US$8,830,000.00, after which, there was 1 ordinary share of par value of US$1.00 each held by Waton Corporation Limited;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41</w:t>
      </w:r>
    </w:p>
    <w:p>
      <w:pPr>
        <w:pStyle w:val="HorizontalLine"/>
        <w:bidi w:val="0"/>
        <w:spacing w:before="200" w:after="200"/>
        <w:jc w:val="left"/>
        <w:rPr/>
      </w:pPr>
      <w:r>
        <w:rPr/>
      </w:r>
    </w:p>
    <w:p>
      <w:pPr>
        <w:pStyle w:val="TextBody"/>
        <w:bidi w:val="0"/>
        <w:jc w:val="left"/>
        <w:rPr/>
      </w:pPr>
      <w:hyperlink w:anchor="TOC">
        <w:bookmarkStart w:id="71" w:name="ny20075344x1_posam_113-description_pg2"/>
        <w:bookmarkEnd w:id="71"/>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Issuance of 8,830 ordinary shares in the Company to Waton Corporation Limited for a consideration of US$8,830,000.00, after which, there were 8,831 ordinary shares of par value of US$1.00 each held by Waton Corporation Limited;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Repurchase of 1 ordinary share of par value of US$1.00 each held by Waton Corporation Limited for a consideration of US$1.00, after which, there were 8,830 ordinary shares of par value of US$1.00 each held by Waton Corporation Limited;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Subdivision of each of the issued and unissued shares of par value of US$1.00 each in the Company into 1000 ordinary shares of par value of US$ 0.001 per share. </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March 22, 2024, the Company further repurchased 2,000,000 ordinary shares held by Waton Corporation Limited for a consideration of US$2,000,000.00. The total number of ordinary shares held by Waton Corporation Limited as of such date was 6,830,000 of par value of US$ 0.001 each.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November 8, 2024, the Company entered into a share subscription agreement with Dynamic Creations Limited (“Dynamic Creations”), being the investor, Waton Corporation Limited, being the holding company of the Company, and Zhou Kai, pursuant to which the Company agreed to issue to Dynamic Creations, subject to satisfaction of certain customary closing conditions, a total of 219,503 Ordinary Shares (1,317,018 Ordinary Shares, as adjusted retroactively to give effect to the share subdivision of the Company, which was initially approved on March 31, 2025) at the issuance price of US$23.43 per share (US$3.91 per share, as adjusted retroactively to give effect to the share subdivision of the Company, which was initially approved on March 31, 2025) for an aggregate cash consideration of HK$ 40,000,000 (equivalent to US$5,142,975, calculated using the HKD/USD conversion rate of 7.7776:1). The share issuance was consummated on November 19, 2024.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November 18, 2024, upon the vesting and exercise of the restricted share units granted under the Company’s 2024 Global Equity Incentive Plan, 114,743 Ordinary Shares (668,458 Ordinary Shares, as adjusted retroactively to give effect to the share subdivision of the Company, which was initially approved on March 31, 2025) at the issuance price of US$ 0.001 per share for a consideration of US$114.74 and 36,791 Ordinary Shares (220,746 Ordinary Shares, as adjusted retroactively to give effect to the share subdivision of the Company, which was initially approved on March 31, 2025) at the issuance price of US$ 0.001 per share for a consideration of US$36.79, were issued to Mr. Wen Huaxin and Mr. James Beeland Rogers, respectively. As of the date of this prospectus, Mr. Wen has completed the share transfer of 688,458 Ordinary Shares to WATON ESOP PLAN LTD. See “Management — Share Incentive Plan” and “Description of Share Capital — Shareholders Agreement” for details. </w:t>
      </w:r>
    </w:p>
    <w:p>
      <w:pPr>
        <w:pStyle w:val="TextBody"/>
        <w:bidi w:val="0"/>
        <w:spacing w:before="17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December 31, 2024, the directors and shareholders of the Company passed resolutions to approve the followings: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Amendments of the memorandum and articles of association to change the authorized share capital of the Company from “unlimited number of shares of a single class each with a par value of US$0.001” to “unlimited number of shares of a single class each with no par value”;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7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Redemption of all 7,201,037 ordinary shares in issue in the Company from each of the shareholders of the Company as of that date in exchange for the relevant portion of the new ordinary shares of no par value;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Issuance of in aggregate new 7,201,037 ordinary shares of no par value in the Company to each of the shareholders of the Company as of that date for a consideration equal to the redemption proceeds due to the shareholders of the Company in respect of the redemption shares (being in aggregate US$7,201.5); </w:t>
            </w:r>
          </w:p>
        </w:tc>
      </w:tr>
    </w:tbl>
    <w:tbl>
      <w:tblPr>
        <w:tblW w:w="8485" w:type="dxa"/>
        <w:jc w:val="left"/>
        <w:tblInd w:w="0" w:type="dxa"/>
        <w:tblLayout w:type="fixed"/>
        <w:tblCellMar>
          <w:top w:w="0" w:type="dxa"/>
          <w:left w:w="0" w:type="dxa"/>
          <w:bottom w:w="0" w:type="dxa"/>
          <w:right w:w="0" w:type="dxa"/>
        </w:tblCellMar>
      </w:tblPr>
      <w:tblGrid>
        <w:gridCol w:w="305"/>
        <w:gridCol w:w="818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Subdivision of all the issued ordinary shares in the capital of the Company at a ratio of a six-for-one. </w:t>
            </w:r>
          </w:p>
        </w:tc>
      </w:tr>
    </w:tbl>
    <w:p>
      <w:pPr>
        <w:pStyle w:val="TextBody"/>
        <w:bidi w:val="0"/>
        <w:spacing w:before="17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relevant share subdivision registry was completed on January 7, 2025.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a result of the above changes, there were a total of 43,206,222 Ordinary Shares of no par value, with 40,980,000 Ordinary Shares held by Waton Corporation Limited, 1,317,018 Ordinary Shares held by Dynamic Creations Limited, 688,458 Ordinary Shares beneficially owned by Mr. Wen Huaxin, and 220,746 Ordinary Shares held by Mr. James Beeland Rogers Jr.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April 2025, we issued 4,375,000 Ordinary Shares, together with an additional 656,250 Ordinary Shares pursuant to the full exercise of the over-allotment option granted to the underwriters in connection with the IPO. The offering price was US $4.00 per Ordinary Share.</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42</w:t>
      </w:r>
    </w:p>
    <w:p>
      <w:pPr>
        <w:pStyle w:val="HorizontalLine"/>
        <w:bidi w:val="0"/>
        <w:spacing w:before="200" w:after="200"/>
        <w:jc w:val="left"/>
        <w:rPr/>
      </w:pPr>
      <w:r>
        <w:rPr/>
      </w:r>
    </w:p>
    <w:p>
      <w:pPr>
        <w:pStyle w:val="TextBody"/>
        <w:bidi w:val="0"/>
        <w:jc w:val="left"/>
        <w:rPr/>
      </w:pPr>
      <w:hyperlink w:anchor="TOC">
        <w:bookmarkStart w:id="72" w:name="ny20075344x1_posam_113-description_pg3"/>
        <w:bookmarkEnd w:id="7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Pre-IPO Shareholders Agreement </w:t>
      </w:r>
    </w:p>
    <w:p>
      <w:pPr>
        <w:pStyle w:val="TextBody"/>
        <w:bidi w:val="0"/>
        <w:spacing w:before="15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entered into a shareholders agreement on January 3, 2025 with our shareholders prior the completion of our IPO.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such shareholders agreement, our pre-IPO shareholders are subject to certain general restrictions on disposal and issue of Ordinary Shares, including, among others, general restriction on security interests where our shareholder may not grant any security interest in or lien upon our securities without first obtaining our board approval.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shareholders holding Ordinary Shares immediately prior to our IPO (the “Restricted Shares”) are also subject to a mandatory lock-up period that will expire two years from the date of our IPO. No disposal to third parties of Restricted Shares is allowed until the end of the lock-up period.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shareholders agreement provides for certain shareholders’ rights, including, among others, pre-emptive rights on issue of securities, pre-emptive rights on disposal and drag along rights, and contains provisions governing our board of directors and other corporate governance matters.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Save for the mandatory lock-up period for the Restricted Shares, the general restrictions on disposal and issue of Ordinary Shares, and shareholders’ rights terminated upon the closing of our IPO.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43</w:t>
      </w:r>
    </w:p>
    <w:p>
      <w:pPr>
        <w:pStyle w:val="HorizontalLine"/>
        <w:bidi w:val="0"/>
        <w:spacing w:before="200" w:after="200"/>
        <w:jc w:val="left"/>
        <w:rPr/>
      </w:pPr>
      <w:r>
        <w:rPr/>
      </w:r>
    </w:p>
    <w:p>
      <w:pPr>
        <w:pStyle w:val="TextBody"/>
        <w:bidi w:val="0"/>
        <w:jc w:val="left"/>
        <w:rPr/>
      </w:pPr>
      <w:hyperlink w:anchor="TOC">
        <w:bookmarkStart w:id="73" w:name="ny20075344x1_posam_114-shares_pg1"/>
        <w:bookmarkEnd w:id="7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74" w:name="tSEF"/>
      <w:bookmarkEnd w:id="74"/>
      <w:r>
        <w:rPr>
          <w:rFonts w:ascii="Times New Roman;Times;serif" w:hAnsi="Times New Roman;Times;serif"/>
          <w:b/>
          <w:color w:val="000000"/>
          <w:sz w:val="20"/>
          <w:shd w:fill="FFFFFF" w:val="clear"/>
        </w:rPr>
        <w:t xml:space="preserve">SHARES ELIGIBLE FOR FUTURE SALE </w:t>
      </w:r>
    </w:p>
    <w:p>
      <w:pPr>
        <w:pStyle w:val="TextBody"/>
        <w:bidi w:val="0"/>
        <w:spacing w:before="39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Rule 144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general, under Rule 144 as currently in effect, a person (or persons whose shares are aggregated) who at the time of a sale is not, and has not been during the three months preceding the sale, an affiliate of ours and has beneficially owned our restricted securities for at least six months is entitled to sell the restricted securities without registration under the Securities Act, subject to the availability of current public information about us, and will be entitled to sell restricted securities beneficially owned for at least one year without restriction. Persons who are our affiliates (including persons beneficially owning 10% or more of our outstanding shares) and have beneficially owned our restricted securities for at least six months may sell within any three-month period a number of restricted securities that does not exceed the greater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of the then outstanding ordinary shares of the same class, which will equal approximately 535,972 Ordinary Shares immediately after this offering, assuming the sales of all of the Ordinary Shares we are offering;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average weekly trading volume of our ordinary shares of the same class on the Nasdaq Capital Market during the four calendar weeks preceding the date on which notice of the sale on Form 144 is filed with the SEC. </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Such sales are also subject to manner-of-sale provisions, notice requirements and the availability of current public information about us.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Rule 701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Beginning 90 days after we became a reporting company, persons other than affiliates who purchased ordinary shares under a written compensatory plan or other written agreement executed prior to the completion of our IPO may be entitled to sell such shares in the United States in reliance on Rule 701 under the Securities Act, or Rule 701. Rule 701 permits affiliates to sell their Rule 701 shares under Rule 144 without complying with the holding period requirements of Rule 144.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Rule 701 further provides that non-affiliates may sell these shares in reliance on Rule 144 subject only to its manner-of-sale requirements. However, the Rule 701 shares would remain subject to any applicable lock-up arrangements and would only become eligible for sale when the lock-up period expires, if any.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Regulation 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Regulation S provides generally that sales made in offshore transactions are not subject to the registration or prospectus-delivery requirements of the Securities Act.</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Lock-Up Agreements </w:t>
      </w:r>
    </w:p>
    <w:p>
      <w:pPr>
        <w:pStyle w:val="TextBody"/>
        <w:bidi w:val="0"/>
        <w:spacing w:before="15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See “</w:t>
      </w:r>
      <w:r>
        <w:rPr>
          <w:rFonts w:ascii="Times New Roman;Times;serif" w:hAnsi="Times New Roman;Times;serif"/>
          <w:i/>
          <w:color w:val="000000"/>
          <w:sz w:val="20"/>
          <w:shd w:fill="FFFFFF" w:val="clear"/>
        </w:rPr>
        <w:t>Plan of Distribution — Lock-Up Agreements</w:t>
      </w:r>
      <w:r>
        <w:rPr>
          <w:rFonts w:ascii="Times New Roman;Times;serif" w:hAnsi="Times New Roman;Times;serif"/>
          <w:color w:val="000000"/>
          <w:sz w:val="20"/>
          <w:shd w:fill="FFFFFF" w:val="clear"/>
        </w:rPr>
        <w:t xml:space="preserv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44</w:t>
      </w:r>
    </w:p>
    <w:p>
      <w:pPr>
        <w:pStyle w:val="HorizontalLine"/>
        <w:bidi w:val="0"/>
        <w:spacing w:before="200" w:after="200"/>
        <w:jc w:val="left"/>
        <w:rPr/>
      </w:pPr>
      <w:r>
        <w:rPr/>
      </w:r>
    </w:p>
    <w:p>
      <w:pPr>
        <w:pStyle w:val="TextBody"/>
        <w:bidi w:val="0"/>
        <w:jc w:val="left"/>
        <w:rPr/>
      </w:pPr>
      <w:hyperlink w:anchor="TOC">
        <w:bookmarkStart w:id="75" w:name="ny20075344x1_posam_115-plan_pg1"/>
        <w:bookmarkEnd w:id="7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76" w:name="tPOD"/>
      <w:bookmarkEnd w:id="76"/>
      <w:r>
        <w:rPr>
          <w:rFonts w:ascii="Times New Roman;Times;serif" w:hAnsi="Times New Roman;Times;serif"/>
          <w:b/>
          <w:color w:val="000000"/>
          <w:sz w:val="20"/>
          <w:shd w:fill="FFFFFF" w:val="clear"/>
        </w:rPr>
        <w:t xml:space="preserve">PLAN OF DISTRIBUTION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a placement agency agreement, dated [•], 2026 (the “Placement Agency Agreement”), we have engaged Cathay Securities, Inc. (the “Placement Agent”) to act as our exclusive placement agent in connection with this offering. The Placement Agent is not purchasing or selling any of our securities, nor is it required to arrange for the purchase and sale of any specific number or dollar amount of such securities, other than to use its “reasonable best efforts,” to arrange for the sale of such securities by us. The terms of this offering are subject to market conditions and negotiations between us, the Placement Agent and prospective investors. The Placement Agency Agreement does not give rise to any commitment by the Placement Agent to purchase any of our securities, and the Placement Agent will have no authority to bind us by virtue of the Placement Agency Agreement. Further, the Placement Agent does not guarantee that it will be able to raise new capital in any prospective offering. The Placement Agent may engage sub-agents or selected dealers to assist with this offering.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will enter into a securities purchase agreement (the “Securities Purchase Agreement”) directly with each investor in connection with this offering and we may not sell the entire amount, or any amount, of securities offered pursuant to this prospectus. The form of the Securities Purchase Agreement is included as an exhibit to the registration statement of which this prospectus forms a part. We have agreed to indemnify the investors against certain losses resulting from our breach of any of our representations, warranties, or covenants under agreements with the purchasers as well as under certain other circumstances described in the Securities Purchase Agreement.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will deliver to the investors the Ordinary Shares upon closing and receipt of investor funds for the purchase of the securities offered pursuant to this prospectus. We intend to complete one closing of this offering, but may undertake one or more additional closings for the sale of additional securities to the investors in the initial closing. We expect to hold an initial closing on [•], 2026. This offering will terminate no later than thirty (30) calendar days following the effectiveness of this Post-Effective Amendment No. 2, unless the Company extends such period or decides to terminate the offering prior to that date. Any extensions or material changes to the terms of the offering will be contained in an amendment to this prospectus. We expect initial delivery of up to 5,359,719 Ordinary Shares offered pursuant to this prospectus against payment in U.S. dollars will be made on or about [•], 2026.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Commissions and Expenses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shows the total Placement Agent’s commissions we will pay in connection with the sale of the securities in this offering, assuming the purchase of all of the securities we are offering. </w:t>
      </w:r>
    </w:p>
    <w:tbl>
      <w:tblPr>
        <w:tblW w:w="4760" w:type="dxa"/>
        <w:jc w:val="left"/>
        <w:tblInd w:w="0" w:type="dxa"/>
        <w:tblLayout w:type="fixed"/>
        <w:tblCellMar>
          <w:top w:w="0" w:type="dxa"/>
          <w:left w:w="0" w:type="dxa"/>
          <w:bottom w:w="0" w:type="dxa"/>
          <w:right w:w="0" w:type="dxa"/>
        </w:tblCellMar>
      </w:tblPr>
      <w:tblGrid>
        <w:gridCol w:w="2660"/>
        <w:gridCol w:w="140"/>
        <w:gridCol w:w="140"/>
        <w:gridCol w:w="740"/>
        <w:gridCol w:w="140"/>
        <w:gridCol w:w="140"/>
        <w:gridCol w:w="800"/>
      </w:tblGrid>
      <w:tr>
        <w:trPr/>
        <w:tc>
          <w:tcPr>
            <w:tcW w:w="26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r>
      <w:tr>
        <w:trPr/>
        <w:tc>
          <w:tcPr>
            <w:tcW w:w="26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(assuming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Public offering price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Placement agent commissions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26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Proceeds, before expenses, to us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29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297"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26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have agreed to pay to the Placement Agent a cash fee equal to 7.0% of the aggregate gross proceeds raised in this offering. We have also agreed to reimburse the Placement Agent for its accountable expenses up to $100,000, of which $20,000 has been paid as an advance in respect thereof. Any advance will be returned to the Company to the extent the Placement Agent's out-of-pocket accountable expenses are not actually incurred in accordance with FINRA Rule 5110(g)(4)(A) and FINRA Rule 5110(g)(5)(A).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estimate the total expenses payable by us for this offering, assuming the maximum offering is completed, to be approximately $1.51 million, which amount includes (i) the Placement Agent’s commissions of approximately $1.10 million, assuming the purchase of all of the securities we are offering; (ii) the Placement Agent's accountable expense reimbursement of up to $0.10 million in connection with this offering; and (iii) other expenses of approximately $0.31 million associated with the offering of our securities. However, because this is a “best efforts” offering and there is no minimum offering amount required as a condition to the closing of this offering, the actual offering amount, the Placement Agent commissions and accountable expenses and net proceeds to us are not presently determinable and may be substantially less than the maximum amounts set forth herein. </w:t>
      </w:r>
    </w:p>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Lock-Up Agreements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directors, executive officers, and beneficial owners of 10% or more of our outstanding Ordinary Shares will enter into lock-up agreements. Under these agreements, these parties have agreed, subject to specified exceptions, not to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45</w:t>
      </w:r>
    </w:p>
    <w:p>
      <w:pPr>
        <w:pStyle w:val="HorizontalLine"/>
        <w:bidi w:val="0"/>
        <w:spacing w:before="200" w:after="200"/>
        <w:jc w:val="left"/>
        <w:rPr/>
      </w:pPr>
      <w:r>
        <w:rPr/>
      </w:r>
    </w:p>
    <w:p>
      <w:pPr>
        <w:pStyle w:val="TextBody"/>
        <w:bidi w:val="0"/>
        <w:jc w:val="left"/>
        <w:rPr/>
      </w:pPr>
      <w:hyperlink w:anchor="TOC">
        <w:bookmarkStart w:id="77" w:name="ny20075344x1_posam_115-plan_pg2"/>
        <w:bookmarkEnd w:id="7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offer, sell, contract to sell, hypothecate, pledge, or otherwise dispose of any Ordinary Shares or securities convertible into, or exchangeable or exercisable for, our Ordinary Shares for a period of 180 days after the closing of this offering.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Notwithstanding these limitations, our securities may be transferred under limited circumstances, including by gift, will, or intestate succession.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Right of First Refusal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Upon the closing of this offering, for a period of twelve (12) months from such closing, the Company has granted the Placement Agent the right of first refusal to act as sole managing underwriter and dealer manager, book runner or sole placement agent for any and all future public or private equity, equity-linked or debt (excluding commercial bank debt) offerings during such twelve (12) month period. The right of first refusal granted hereunder may be terminated by the Company for cause.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Listing </w:t>
      </w:r>
    </w:p>
    <w:p>
      <w:pPr>
        <w:pStyle w:val="TextBody"/>
        <w:bidi w:val="0"/>
        <w:spacing w:before="15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Ordinary Shares began trading on the Nasdaq Capital Market under the ticker symbol “WTF” on April 1, 2025.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Regulation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Placement Agent may be deemed to be an underwriter within the meaning of Section 2(a)(11) of the Securities Act and any fees received by it and any profit realized on the sale of the securities by it while acting as principal might be deemed to be underwriting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the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Other Relationships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From time to time, the Placement Agent may provide various advisory, investment, and commercial banking and other services to us in the ordinary course of business, for which it may receive customary fees and commissions. However, except as disclosed in this prospectus, we have no present arrangements with the Placement Agent for any services.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have agreed to indemnify the Placement Agent against certain liabilities, including liabilities under the Securities Act. If we are unable to provide this indemnification, we will contribute to payments that the Placement Agent may be required to make for these liabilities. </w:t>
      </w:r>
    </w:p>
    <w:p>
      <w:pPr>
        <w:pStyle w:val="TextBody"/>
        <w:bidi w:val="0"/>
        <w:spacing w:before="41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Selling Restrictions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No action may be taken in any jurisdiction other than the United States that would permit a public offering of the Securities or the possession, circulation, or distribution of this prospectus in any jurisdiction where action for that purpose is required. Accordingly, our securities may not be offered or sold, directly or indirectly, and neither the prospectus nor any other offering material or advertisements in connection with our securities may be distributed or published in or from any country or jurisdiction except under circumstances that will result in compliance with any applicable laws, rules, and regulations of any such country or jurisdiction.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46</w:t>
      </w:r>
    </w:p>
    <w:p>
      <w:pPr>
        <w:pStyle w:val="HorizontalLine"/>
        <w:bidi w:val="0"/>
        <w:spacing w:before="200" w:after="200"/>
        <w:jc w:val="left"/>
        <w:rPr/>
      </w:pPr>
      <w:r>
        <w:rPr/>
      </w:r>
    </w:p>
    <w:p>
      <w:pPr>
        <w:pStyle w:val="TextBody"/>
        <w:bidi w:val="0"/>
        <w:jc w:val="left"/>
        <w:rPr/>
      </w:pPr>
      <w:hyperlink w:anchor="TOC">
        <w:bookmarkStart w:id="78" w:name="ny20075344x1_posam_115-plan_pg3"/>
        <w:bookmarkEnd w:id="7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79" w:name="tERT"/>
      <w:bookmarkEnd w:id="79"/>
      <w:r>
        <w:rPr>
          <w:rFonts w:ascii="Times New Roman;Times;serif" w:hAnsi="Times New Roman;Times;serif"/>
          <w:b/>
          <w:color w:val="000000"/>
          <w:sz w:val="20"/>
          <w:shd w:fill="FFFFFF" w:val="clear"/>
        </w:rPr>
        <w:t xml:space="preserve">EXPENSES RELATING TO THIS OFFERING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Set forth below is an itemization of the total expenses, other than the Placement Agent’s commissions and accountable expense reimbursement, that we expect to incur in connection with this offering. With the exception of the SEC registration fee and the FINRA filing fee, all amounts are estimates. </w:t>
      </w:r>
    </w:p>
    <w:tbl>
      <w:tblPr>
        <w:tblW w:w="3890" w:type="dxa"/>
        <w:jc w:val="left"/>
        <w:tblInd w:w="0" w:type="dxa"/>
        <w:tblLayout w:type="fixed"/>
        <w:tblCellMar>
          <w:top w:w="0" w:type="dxa"/>
          <w:left w:w="0" w:type="dxa"/>
          <w:bottom w:w="0" w:type="dxa"/>
          <w:right w:w="0" w:type="dxa"/>
        </w:tblCellMar>
      </w:tblPr>
      <w:tblGrid>
        <w:gridCol w:w="2795"/>
        <w:gridCol w:w="140"/>
        <w:gridCol w:w="140"/>
        <w:gridCol w:w="815"/>
      </w:tblGrid>
      <w:tr>
        <w:trPr/>
        <w:tc>
          <w:tcPr>
            <w:tcW w:w="27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 Registration Fee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​2,176</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FINRA Filing Fee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​2,000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Legal Fees and Expenses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$328,000</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Accounting Fees and Expenses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10,000</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Printing and Engraving Expenses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10,000</w:t>
            </w:r>
          </w:p>
        </w:tc>
      </w:tr>
      <w:tr>
        <w:trPr/>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Miscellaneous Expenses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$​55,824</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$408,000</w:t>
            </w:r>
          </w:p>
        </w:tc>
      </w:tr>
      <w:tr>
        <w:trPr/>
        <w:tc>
          <w:tcPr>
            <w:tcW w:w="27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will pay all of our expenses of this offering.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47</w:t>
      </w:r>
    </w:p>
    <w:p>
      <w:pPr>
        <w:pStyle w:val="HorizontalLine"/>
        <w:bidi w:val="0"/>
        <w:spacing w:before="200" w:after="200"/>
        <w:jc w:val="left"/>
        <w:rPr/>
      </w:pPr>
      <w:r>
        <w:rPr/>
      </w:r>
    </w:p>
    <w:p>
      <w:pPr>
        <w:pStyle w:val="TextBody"/>
        <w:bidi w:val="0"/>
        <w:jc w:val="left"/>
        <w:rPr/>
      </w:pPr>
      <w:hyperlink w:anchor="TOC">
        <w:bookmarkStart w:id="80" w:name="ny20075344x1_posam_116-legal_pg1"/>
        <w:bookmarkEnd w:id="8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81" w:name="tLM"/>
      <w:bookmarkEnd w:id="81"/>
      <w:r>
        <w:rPr>
          <w:rFonts w:ascii="Times New Roman;Times;serif" w:hAnsi="Times New Roman;Times;serif"/>
          <w:b/>
          <w:color w:val="000000"/>
          <w:sz w:val="20"/>
          <w:shd w:fill="FFFFFF" w:val="clear"/>
        </w:rPr>
        <w:t xml:space="preserve">LEGAL MATTERS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Certain legal matters as to United States federal securities and New York State law in connection with this offering will be passed upon for us by Hunter Taubman Fischer &amp; Li LLC. The validity of the Ordinary Shares offered in this offering and certain other legal matters as to British Virgin Islands law will be passed upon for us by Carey Olsen Singapore LLP, our counsel as to British Virgin Islands law. Certain legal matters as to Cayman Islands law will be passed upon for us by Carey Olsen Singapore LLP. Certain legal matters as to PRC law will be passed upon for us by Global Law Office. Certain legal matters as to Hong Kong law will be passed upon for us by Han Kun Law Offices LLP. Kaufman &amp; Canoles, P.C. is acting as U.S. counsel for the Placement Agent in connection with this offering. </w:t>
      </w:r>
    </w:p>
    <w:p>
      <w:pPr>
        <w:pStyle w:val="TextBody"/>
        <w:bidi w:val="0"/>
        <w:spacing w:before="240" w:after="283"/>
        <w:jc w:val="center"/>
        <w:rPr>
          <w:rFonts w:ascii="Times New Roman;Times;serif" w:hAnsi="Times New Roman;Times;serif"/>
          <w:b/>
          <w:color w:val="000000"/>
          <w:sz w:val="20"/>
          <w:shd w:fill="FFFFFF" w:val="clear"/>
        </w:rPr>
      </w:pPr>
      <w:bookmarkStart w:id="82" w:name="tEXP"/>
      <w:bookmarkEnd w:id="82"/>
      <w:r>
        <w:rPr>
          <w:rFonts w:ascii="Times New Roman;Times;serif" w:hAnsi="Times New Roman;Times;serif"/>
          <w:b/>
          <w:color w:val="000000"/>
          <w:sz w:val="20"/>
          <w:shd w:fill="FFFFFF" w:val="clear"/>
        </w:rPr>
        <w:t xml:space="preserve">EXPERTS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consolidated financial statements of Waton Financial Limited as of March 31, 2025 and 2024 and for each of the years in the three-year period ended March 31, 2025 incorporated by reference in this prospectus have been audited by UHY LLP, an independent registered public accounting firm, as set forth in their report appearing therein, which contain a paragraph of “Emphasis of Matter” relating to the Company’s significant transactions with related parties, and are included in reliance upon such report, given on the authority of said firm as experts in auditing and accounting. The office of UHY LLP is headquartered in New York, the United States. </w:t>
      </w:r>
    </w:p>
    <w:p>
      <w:pPr>
        <w:pStyle w:val="TextBody"/>
        <w:bidi w:val="0"/>
        <w:spacing w:before="240" w:after="283"/>
        <w:jc w:val="center"/>
        <w:rPr>
          <w:rFonts w:ascii="Times New Roman;Times;serif" w:hAnsi="Times New Roman;Times;serif"/>
          <w:b/>
          <w:color w:val="000000"/>
          <w:sz w:val="20"/>
          <w:shd w:fill="FFFFFF" w:val="clear"/>
        </w:rPr>
      </w:pPr>
      <w:bookmarkStart w:id="83" w:name="tCIR"/>
      <w:bookmarkEnd w:id="83"/>
      <w:r>
        <w:rPr>
          <w:rFonts w:ascii="Times New Roman;Times;serif" w:hAnsi="Times New Roman;Times;serif"/>
          <w:b/>
          <w:color w:val="000000"/>
          <w:sz w:val="20"/>
          <w:shd w:fill="FFFFFF" w:val="clear"/>
        </w:rPr>
        <w:t xml:space="preserve">CHANGE IN REGISTRANT’S CERTIFYING ACCOUNTANT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April 10, 2024, the board of directors received notice of the resignation of MaloneBailey, LLP from its role as the Company’s independent registered public accounting firm to audit the Company’s consolidated financial statements for the fiscal years ended March 31, 2022 and 2023. The board of directors did not take part in MaloneBailey, LLP’s decision to resign. On May 23, 2024, the board of directors approved the engagement of UHY LLP as the Company’s independent registered public accounting firm to audit the consolidated financial statements of the Company for the fiscal years ended March 31, 2023 and 2024.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MaloneBailey, LLP’s reports on our consolidated financial statements for the fiscal years ended March 31, 2022 and 2023 did not contain an adverse opinion or a disclaimer of opinion and were not qualified or modified as to uncertainty, audit scope, or accounting principles.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Furthermore, during the Company’s fiscal years ended March 31, 2023 and 2024, there were (i) no disagreements with MaloneBailey, LLP on any matter of accounting principles or practices, financial statement disclosure or auditing scope or procedures that, if not resolved to MaloneBailey, LLP’s satisfaction, would have caused MaloneBailey, LLP to make reference to the subject matter of the disagreement in connection with its reports and (ii) no “reportable events” as defined in Item 304(a)(1)(v) of Regulation S-K, except for the material weaknesses related to the lack of sufficient financial reporting and accounting personnel with appropriate knowledge of U.S. GAAP and SEC reporting and compliance requirements to design, implement and operate key controls over financial reporting process in accordance with U.S. GAAP and financial reporting requirements set forth by the SEC.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engaged UHY LLP as its new independent registered public accounting firm. During the Company’s fiscal years ended March 31, 2023 and 2024, neither the Company nor anyone on its behalf consulted UHY LLP regarding (i) the application of accounting principles to a specified transaction, either completed or proposed, or the type of audit opinion that might be rendered on the consolidated financial statements of the Company, in connection with which neither a written report nor oral advice was provided to the Company that UHY LLP concluded was an important factor considered by the Company in reaching a decision as to the accounting, auditing or financial reporting issue; or (ii) any matter that was either the subject of a disagreement as defined in Item 304(a)(1)(iv) of Regulation S-K or a reportable event as described in Item 304(a)(1)(v) of Regulation S-K.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have provided MaloneBailey, LLP with a copy of the disclosures made by us in response to Item 304(a) of Regulation S-K under the Exchange Act, and have requested that MaloneBailey, LLP furnish us with a letter addressed to the SEC stating whether it agrees with the statements made by the registrant in response to this Item 304(a) of Regulation S-K under the Exchange Act and, if not, stating the respects in which it does not agree. A letter from MaloneBailey, LLP is filed as Exhibit 16.1 to the registration statement of which this prospectus forms a part. </w:t>
      </w:r>
    </w:p>
    <w:p>
      <w:pPr>
        <w:pStyle w:val="TextBody"/>
        <w:bidi w:val="0"/>
        <w:spacing w:before="240" w:after="283"/>
        <w:jc w:val="center"/>
        <w:rPr>
          <w:rFonts w:ascii="Times New Roman;Times;serif" w:hAnsi="Times New Roman;Times;serif"/>
          <w:b/>
          <w:color w:val="000000"/>
          <w:sz w:val="20"/>
          <w:shd w:fill="FFFFFF" w:val="clear"/>
        </w:rPr>
      </w:pPr>
      <w:bookmarkStart w:id="84" w:name="tWYC"/>
      <w:bookmarkEnd w:id="84"/>
      <w:r>
        <w:rPr>
          <w:rFonts w:ascii="Times New Roman;Times;serif" w:hAnsi="Times New Roman;Times;serif"/>
          <w:b/>
          <w:color w:val="000000"/>
          <w:sz w:val="20"/>
          <w:shd w:fill="FFFFFF" w:val="clear"/>
        </w:rPr>
        <w:t xml:space="preserve">WHERE YOU CAN FIND MORE INFORMATION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have filed with the SEC a registration statement on Form F-1, including relevant exhibits and schedules under the Securities Act with respect to the securities to be sold in this offering. This prospectus, which constitutes a part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48</w:t>
      </w:r>
    </w:p>
    <w:p>
      <w:pPr>
        <w:pStyle w:val="HorizontalLine"/>
        <w:bidi w:val="0"/>
        <w:spacing w:before="200" w:after="200"/>
        <w:jc w:val="left"/>
        <w:rPr/>
      </w:pPr>
      <w:r>
        <w:rPr/>
      </w:r>
    </w:p>
    <w:p>
      <w:pPr>
        <w:pStyle w:val="TextBody"/>
        <w:bidi w:val="0"/>
        <w:jc w:val="left"/>
        <w:rPr/>
      </w:pPr>
      <w:hyperlink w:anchor="TOC">
        <w:bookmarkStart w:id="85" w:name="ny20075344x1_posam_116-legal_pg2"/>
        <w:bookmarkEnd w:id="8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of the registration statement, does not contain all of the information contained in the registration statement. You should read the registration statement on Form F-1 and its exhibits and schedules for further information with respect to us and the securities.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are subject to periodic reporting and other informational requirements of the Exchange Act as applicable to foreign private issuers. Accordingly, we are required to file reports, including annual reports on Form 20-F, and other information with the SEC.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a foreign private issuer, we are exempt under the Exchange Act from, among other things, the rules prescribing the furnishing and content of proxy statements to shareholders, and our executive officers, directors and principal shareholders are exempt from certain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All information filed with the SEC can be inspected over the Internet at the SEC’s website at </w:t>
      </w:r>
      <w:r>
        <w:rPr>
          <w:rFonts w:ascii="Times New Roman;Times;serif" w:hAnsi="Times New Roman;Times;serif"/>
          <w:i/>
          <w:color w:val="000000"/>
          <w:sz w:val="20"/>
          <w:shd w:fill="FFFFFF" w:val="clear"/>
        </w:rPr>
        <w:t>www.sec.gov</w:t>
      </w:r>
      <w:r>
        <w:rPr>
          <w:rFonts w:ascii="Times New Roman;Times;serif" w:hAnsi="Times New Roman;Times;serif"/>
          <w:color w:val="000000"/>
          <w:sz w:val="20"/>
          <w:shd w:fill="FFFFFF" w:val="clear"/>
        </w:rPr>
        <w:t xml:space="preserve">. </w:t>
      </w:r>
    </w:p>
    <w:p>
      <w:pPr>
        <w:pStyle w:val="TextBody"/>
        <w:bidi w:val="0"/>
        <w:spacing w:before="410" w:after="283"/>
        <w:jc w:val="center"/>
        <w:rPr>
          <w:rFonts w:ascii="Times New Roman;Times;serif" w:hAnsi="Times New Roman;Times;serif"/>
          <w:b/>
          <w:color w:val="000000"/>
          <w:sz w:val="20"/>
          <w:shd w:fill="FFFFFF" w:val="clear"/>
        </w:rPr>
      </w:pPr>
      <w:bookmarkStart w:id="86" w:name="tMC"/>
      <w:bookmarkEnd w:id="86"/>
      <w:r>
        <w:rPr>
          <w:rFonts w:ascii="Times New Roman;Times;serif" w:hAnsi="Times New Roman;Times;serif"/>
          <w:b/>
          <w:color w:val="000000"/>
          <w:sz w:val="20"/>
          <w:shd w:fill="FFFFFF" w:val="clear"/>
        </w:rPr>
        <w:t xml:space="preserve">MATERIAL CHANGES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Except as otherwise described in the 2025 Annual Report, in our reports of foreign private issuer on Form 6-K filed or submitted under the Exchange Act and incorporated by reference herein, and as disclosed in this prospectus or the applicable prospectus supplement, no reportable material changes have occurred since March 31, 2025.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49</w:t>
      </w:r>
    </w:p>
    <w:p>
      <w:pPr>
        <w:pStyle w:val="HorizontalLine"/>
        <w:bidi w:val="0"/>
        <w:spacing w:before="200" w:after="200"/>
        <w:jc w:val="left"/>
        <w:rPr/>
      </w:pPr>
      <w:r>
        <w:rPr/>
      </w:r>
    </w:p>
    <w:p>
      <w:pPr>
        <w:pStyle w:val="TextBody"/>
        <w:bidi w:val="0"/>
        <w:jc w:val="left"/>
        <w:rPr/>
      </w:pPr>
      <w:hyperlink w:anchor="TOC">
        <w:bookmarkStart w:id="87" w:name="ny20075344x1_posam_117-certain_pg1"/>
        <w:bookmarkEnd w:id="8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88" w:name="tICI"/>
      <w:bookmarkEnd w:id="88"/>
      <w:r>
        <w:rPr>
          <w:rFonts w:ascii="Times New Roman;Times;serif" w:hAnsi="Times New Roman;Times;serif"/>
          <w:b/>
          <w:color w:val="000000"/>
          <w:sz w:val="20"/>
          <w:shd w:fill="FFFFFF" w:val="clear"/>
        </w:rPr>
        <w:t xml:space="preserve">INCORPORATION OF CERTAIN INFORMATION BY REFERENCE </w:t>
      </w:r>
    </w:p>
    <w:p>
      <w:pPr>
        <w:pStyle w:val="TextBody"/>
        <w:bidi w:val="0"/>
        <w:spacing w:before="120" w:after="283"/>
        <w:ind w:left="0" w:right="0" w:hanging="0"/>
        <w:jc w:val="both"/>
        <w:rPr/>
      </w:pPr>
      <w:r>
        <w:rPr>
          <w:rFonts w:ascii="Times New Roman;Times;serif" w:hAnsi="Times New Roman;Times;serif"/>
          <w:color w:val="000000"/>
          <w:sz w:val="20"/>
          <w:shd w:fill="FFFFFF" w:val="clear"/>
        </w:rPr>
        <w:t xml:space="preserve">We are allowed to incorporate by reference the information we file with the SEC, which means that we can disclose important information to you by referring to those documents. The information incorporated by reference is considered to be part of this prospectus. We incorporate by reference in this prospectus our 2025 Annual Reports filed with the SEC on </w:t>
      </w:r>
      <w:hyperlink r:id="rId11">
        <w:r>
          <w:rPr>
            <w:rStyle w:val="InternetLink"/>
          </w:rPr>
          <w:t>July 24, 2025</w:t>
        </w:r>
      </w:hyperlink>
      <w:r>
        <w:rPr>
          <w:rFonts w:ascii="Times New Roman;Times;serif" w:hAnsi="Times New Roman;Times;serif"/>
          <w:color w:val="000000"/>
          <w:sz w:val="20"/>
          <w:shd w:fill="FFFFFF" w:val="clear"/>
        </w:rPr>
        <w:t xml:space="preserve"> and our Report on Form 6-K filed on </w:t>
      </w:r>
      <w:hyperlink r:id="rId12">
        <w:r>
          <w:rPr>
            <w:rStyle w:val="InternetLink"/>
          </w:rPr>
          <w:t>August 13, 2025</w:t>
        </w:r>
      </w:hyperlink>
      <w:r>
        <w:rPr>
          <w:rFonts w:ascii="Times New Roman;Times;serif" w:hAnsi="Times New Roman;Times;serif"/>
          <w:color w:val="000000"/>
          <w:sz w:val="20"/>
          <w:shd w:fill="FFFFFF" w:val="clear"/>
        </w:rPr>
        <w:t xml:space="preserve">, on </w:t>
      </w:r>
      <w:hyperlink r:id="rId13">
        <w:r>
          <w:rPr>
            <w:rStyle w:val="InternetLink"/>
          </w:rPr>
          <w:t>January 29, 2026</w:t>
        </w:r>
      </w:hyperlink>
      <w:r>
        <w:rPr>
          <w:rFonts w:ascii="Times New Roman;Times;serif" w:hAnsi="Times New Roman;Times;serif"/>
          <w:color w:val="000000"/>
          <w:sz w:val="20"/>
          <w:shd w:fill="FFFFFF" w:val="clear"/>
        </w:rPr>
        <w:t xml:space="preserve"> and on </w:t>
      </w:r>
      <w:hyperlink r:id="rId14">
        <w:r>
          <w:rPr>
            <w:rStyle w:val="InternetLink"/>
          </w:rPr>
          <w:t>April 21, 2026</w:t>
        </w:r>
      </w:hyperlink>
      <w:r>
        <w:rPr>
          <w:rFonts w:ascii="Times New Roman;Times;serif" w:hAnsi="Times New Roman;Times;serif"/>
          <w:color w:val="000000"/>
          <w:sz w:val="20"/>
          <w:shd w:fill="FFFFFF" w:val="clear"/>
        </w:rPr>
        <w:t xml:space="preserve">.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information relating to us contained in this prospectus does not purport to be comprehensive and should be read together with the information contained in the documents incorporated or deemed to be incorporated by reference in this prospectus.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will provide to each person, including any beneficial owner, to whom this prospectus is delivered, a copy of these filings, at no cost, upon written or oral request to us at the following address: </w:t>
      </w:r>
    </w:p>
    <w:p>
      <w:pPr>
        <w:pStyle w:val="TextBody"/>
        <w:bidi w:val="0"/>
        <w:spacing w:before="17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Waton Financial Limited</w:t>
      </w:r>
    </w:p>
    <w:p>
      <w:pPr>
        <w:pStyle w:val="TextBody"/>
        <w:bidi w:val="0"/>
        <w:spacing w:before="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Address: Suites 3605-06, 36th Floor</w:t>
      </w:r>
    </w:p>
    <w:p>
      <w:pPr>
        <w:pStyle w:val="TextBody"/>
        <w:bidi w:val="0"/>
        <w:spacing w:before="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Tower 6, The Gateway</w:t>
      </w:r>
    </w:p>
    <w:p>
      <w:pPr>
        <w:pStyle w:val="TextBody"/>
        <w:bidi w:val="0"/>
        <w:spacing w:before="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Harbour City, Tsim Sha Tsui</w:t>
      </w:r>
    </w:p>
    <w:p>
      <w:pPr>
        <w:pStyle w:val="TextBody"/>
        <w:bidi w:val="0"/>
        <w:spacing w:before="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Kowloon, Hong Kong</w:t>
      </w:r>
    </w:p>
    <w:p>
      <w:pPr>
        <w:pStyle w:val="TextBody"/>
        <w:bidi w:val="0"/>
        <w:spacing w:before="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Tel: 852 28531838</w:t>
      </w:r>
    </w:p>
    <w:p>
      <w:pPr>
        <w:pStyle w:val="TextBody"/>
        <w:bidi w:val="0"/>
        <w:spacing w:before="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Attention: Investor Relations team</w:t>
      </w:r>
    </w:p>
    <w:p>
      <w:pPr>
        <w:pStyle w:val="TextBody"/>
        <w:bidi w:val="0"/>
        <w:spacing w:before="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Email: ir@waton.com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You also may access the incorporated reports and other documents referenced above on our website at https://wtf.us/. The information contained on, or that can be accessed through, our website is not part of this prospectus.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You should rely only on the information contained or incorporated by reference in this prospectus.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only as of the date on the front cover of this prospectus, or such earlier date, that is indicated in this prospectus. Our business, financial condition, results of operations, and prospects may have changed since that date.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50</w:t>
      </w:r>
    </w:p>
    <w:p>
      <w:pPr>
        <w:pStyle w:val="HorizontalLine"/>
        <w:bidi w:val="0"/>
        <w:spacing w:before="200" w:after="200"/>
        <w:jc w:val="left"/>
        <w:rPr/>
      </w:pPr>
      <w:r>
        <w:rPr/>
      </w:r>
    </w:p>
    <w:p>
      <w:pPr>
        <w:pStyle w:val="TextBody"/>
        <w:bidi w:val="0"/>
        <w:jc w:val="left"/>
        <w:rPr/>
      </w:pPr>
      <w:hyperlink w:anchor="TOC">
        <w:bookmarkStart w:id="89" w:name="ny20075344x1_posam_200-fintoc_pg1"/>
        <w:bookmarkEnd w:id="8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TABLE OF CONTENTS</w:t>
      </w:r>
    </w:p>
    <w:p>
      <w:pPr>
        <w:pStyle w:val="TextBody"/>
        <w:bidi w:val="0"/>
        <w:spacing w:before="390" w:after="283"/>
        <w:jc w:val="center"/>
        <w:rPr>
          <w:rFonts w:ascii="Times New Roman;Times;serif" w:hAnsi="Times New Roman;Times;serif"/>
          <w:b/>
          <w:color w:val="000000"/>
          <w:sz w:val="20"/>
          <w:shd w:fill="FFFFFF" w:val="clear"/>
        </w:rPr>
      </w:pPr>
      <w:bookmarkStart w:id="90" w:name="tINFS"/>
      <w:bookmarkEnd w:id="90"/>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color w:val="000000"/>
          <w:shd w:fill="FFFFFF" w:val="clear"/>
        </w:rPr>
      </w:pPr>
      <w:r>
        <w:rPr>
          <w:color w:val="000000"/>
          <w:shd w:fill="FFFFFF" w:val="clear"/>
        </w:rPr>
        <w:t>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INDEX TO UNAUDITED CONDENSED CONSOLIDATED FINANCIAL STATEMENTS </w:t>
      </w:r>
    </w:p>
    <w:tbl>
      <w:tblPr>
        <w:tblW w:w="10205" w:type="dxa"/>
        <w:jc w:val="left"/>
        <w:tblInd w:w="0" w:type="dxa"/>
        <w:tblLayout w:type="fixed"/>
        <w:tblCellMar>
          <w:top w:w="0" w:type="dxa"/>
          <w:left w:w="0" w:type="dxa"/>
          <w:bottom w:w="0" w:type="dxa"/>
          <w:right w:w="0" w:type="dxa"/>
        </w:tblCellMar>
      </w:tblPr>
      <w:tblGrid>
        <w:gridCol w:w="9209"/>
        <w:gridCol w:w="140"/>
        <w:gridCol w:w="140"/>
        <w:gridCol w:w="716"/>
      </w:tblGrid>
      <w:tr>
        <w:trPr/>
        <w:tc>
          <w:tcPr>
            <w:tcW w:w="92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6" w:type="dxa"/>
            <w:tcBorders/>
            <w:vAlign w:val="center"/>
          </w:tcPr>
          <w:p>
            <w:pPr>
              <w:pStyle w:val="TableContents"/>
              <w:bidi w:val="0"/>
              <w:spacing w:before="0" w:after="0"/>
              <w:jc w:val="left"/>
              <w:rPr/>
            </w:pPr>
            <w:r>
              <w:rPr/>
              <w:t> </w:t>
            </w:r>
          </w:p>
        </w:tc>
      </w:tr>
      <w:tr>
        <w:trPr/>
        <w:tc>
          <w:tcPr>
            <w:tcW w:w="92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PAGE(S) </w:t>
            </w:r>
          </w:p>
        </w:tc>
      </w:tr>
      <w:tr>
        <w:trPr/>
        <w:tc>
          <w:tcPr>
            <w:tcW w:w="9209" w:type="dxa"/>
            <w:tcBorders/>
            <w:shd w:fill="CCEEFF" w:val="clear"/>
            <w:vAlign w:val="center"/>
          </w:tcPr>
          <w:p>
            <w:pPr>
              <w:pStyle w:val="TableContents"/>
              <w:bidi w:val="0"/>
              <w:spacing w:before="0" w:after="283"/>
              <w:ind w:left="200" w:right="0" w:hanging="200"/>
              <w:jc w:val="left"/>
              <w:rPr/>
            </w:pPr>
            <w:hyperlink w:anchor="tCCB">
              <w:r>
                <w:rPr>
                  <w:rStyle w:val="InternetLink"/>
                  <w:rFonts w:ascii="Times New Roman;Times;serif" w:hAnsi="Times New Roman;Times;serif"/>
                  <w:color w:val="000000"/>
                  <w:sz w:val="20"/>
                </w:rPr>
                <w:t>CONDENSED CONSOLIDATED BALANCE SHEETS AS OF SEPTEMBER 30, 2025 (UNAUDITED) AND MARCH 31, 2025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6" w:type="dxa"/>
            <w:tcBorders/>
            <w:shd w:fill="CCEEFF" w:val="clear"/>
            <w:vAlign w:val="center"/>
          </w:tcPr>
          <w:p>
            <w:pPr>
              <w:pStyle w:val="TableContents"/>
              <w:bidi w:val="0"/>
              <w:spacing w:before="0" w:after="283"/>
              <w:jc w:val="center"/>
              <w:rPr/>
            </w:pPr>
            <w:hyperlink w:anchor="tCCB">
              <w:r>
                <w:rPr>
                  <w:rStyle w:val="InternetLink"/>
                  <w:rFonts w:ascii="Times New Roman;Times;serif" w:hAnsi="Times New Roman;Times;serif"/>
                  <w:color w:val="000000"/>
                  <w:sz w:val="20"/>
                </w:rPr>
                <w:t xml:space="preserve">F-2 </w:t>
              </w:r>
            </w:hyperlink>
          </w:p>
        </w:tc>
      </w:tr>
      <w:tr>
        <w:trPr/>
        <w:tc>
          <w:tcPr>
            <w:tcW w:w="9209" w:type="dxa"/>
            <w:tcBorders/>
            <w:vAlign w:val="center"/>
          </w:tcPr>
          <w:p>
            <w:pPr>
              <w:pStyle w:val="TableContents"/>
              <w:bidi w:val="0"/>
              <w:spacing w:before="0" w:after="283"/>
              <w:ind w:left="200" w:right="0" w:hanging="200"/>
              <w:jc w:val="left"/>
              <w:rPr/>
            </w:pPr>
            <w:hyperlink w:anchor="tUCC">
              <w:r>
                <w:rPr>
                  <w:rStyle w:val="InternetLink"/>
                  <w:rFonts w:ascii="Times New Roman;Times;serif" w:hAnsi="Times New Roman;Times;serif"/>
                  <w:color w:val="000000"/>
                  <w:sz w:val="20"/>
                </w:rPr>
                <w:t>UNAUDITED CONDENSED CONSOLIDATED STATEMENTS OF OPERATIONS AND COMPREHENSIVE LOSS FOR THE SIX MONTHS ENDED SEPTEMBER 30, 2025 AND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6" w:type="dxa"/>
            <w:tcBorders/>
            <w:vAlign w:val="center"/>
          </w:tcPr>
          <w:p>
            <w:pPr>
              <w:pStyle w:val="TableContents"/>
              <w:bidi w:val="0"/>
              <w:spacing w:before="0" w:after="283"/>
              <w:jc w:val="center"/>
              <w:rPr/>
            </w:pPr>
            <w:hyperlink w:anchor="tUCC">
              <w:r>
                <w:rPr>
                  <w:rStyle w:val="InternetLink"/>
                  <w:rFonts w:ascii="Times New Roman;Times;serif" w:hAnsi="Times New Roman;Times;serif"/>
                  <w:color w:val="000000"/>
                  <w:sz w:val="20"/>
                </w:rPr>
                <w:t xml:space="preserve">F-3 </w:t>
              </w:r>
            </w:hyperlink>
          </w:p>
        </w:tc>
      </w:tr>
      <w:tr>
        <w:trPr/>
        <w:tc>
          <w:tcPr>
            <w:tcW w:w="9209" w:type="dxa"/>
            <w:tcBorders/>
            <w:shd w:fill="CCEEFF" w:val="clear"/>
            <w:vAlign w:val="center"/>
          </w:tcPr>
          <w:p>
            <w:pPr>
              <w:pStyle w:val="TableContents"/>
              <w:bidi w:val="0"/>
              <w:spacing w:before="0" w:after="283"/>
              <w:ind w:left="200" w:right="0" w:hanging="200"/>
              <w:jc w:val="left"/>
              <w:rPr/>
            </w:pPr>
            <w:hyperlink w:anchor="tUCCS">
              <w:r>
                <w:rPr>
                  <w:rStyle w:val="InternetLink"/>
                  <w:rFonts w:ascii="Times New Roman;Times;serif" w:hAnsi="Times New Roman;Times;serif"/>
                  <w:color w:val="000000"/>
                  <w:sz w:val="20"/>
                </w:rPr>
                <w:t>UNAUDITED CONDENSED CONSOLIDATED STATEMENTS OF CHANGES IN SHAREHOLDERS’ EQUITY FOR THE SIX MONTHS ENDED SEPTEMBER 30, 2025 AND 2024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6" w:type="dxa"/>
            <w:tcBorders/>
            <w:shd w:fill="CCEEFF" w:val="clear"/>
            <w:vAlign w:val="center"/>
          </w:tcPr>
          <w:p>
            <w:pPr>
              <w:pStyle w:val="TableContents"/>
              <w:bidi w:val="0"/>
              <w:spacing w:before="0" w:after="283"/>
              <w:jc w:val="center"/>
              <w:rPr/>
            </w:pPr>
            <w:hyperlink w:anchor="tUCCS">
              <w:r>
                <w:rPr>
                  <w:rStyle w:val="InternetLink"/>
                  <w:rFonts w:ascii="Times New Roman;Times;serif" w:hAnsi="Times New Roman;Times;serif"/>
                  <w:color w:val="000000"/>
                  <w:sz w:val="20"/>
                </w:rPr>
                <w:t xml:space="preserve">F-4 </w:t>
              </w:r>
            </w:hyperlink>
          </w:p>
        </w:tc>
      </w:tr>
      <w:tr>
        <w:trPr/>
        <w:tc>
          <w:tcPr>
            <w:tcW w:w="9209" w:type="dxa"/>
            <w:tcBorders/>
            <w:vAlign w:val="center"/>
          </w:tcPr>
          <w:p>
            <w:pPr>
              <w:pStyle w:val="TableContents"/>
              <w:bidi w:val="0"/>
              <w:spacing w:before="0" w:after="283"/>
              <w:ind w:left="200" w:right="0" w:hanging="200"/>
              <w:jc w:val="left"/>
              <w:rPr/>
            </w:pPr>
            <w:hyperlink w:anchor="tUCCSO">
              <w:r>
                <w:rPr>
                  <w:rStyle w:val="InternetLink"/>
                  <w:rFonts w:ascii="Times New Roman;Times;serif" w:hAnsi="Times New Roman;Times;serif"/>
                  <w:color w:val="000000"/>
                  <w:sz w:val="20"/>
                </w:rPr>
                <w:t>UNAUDITED CONDENSED CONSOLIDATED STATEMENTS OF CASH FLOWS FOR THE SIX MONTHS ENDED SEPTEMBER 30, 2025 AND 2024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6" w:type="dxa"/>
            <w:tcBorders/>
            <w:vAlign w:val="center"/>
          </w:tcPr>
          <w:p>
            <w:pPr>
              <w:pStyle w:val="TableContents"/>
              <w:bidi w:val="0"/>
              <w:spacing w:before="0" w:after="283"/>
              <w:jc w:val="center"/>
              <w:rPr/>
            </w:pPr>
            <w:hyperlink w:anchor="tUCCSO">
              <w:r>
                <w:rPr>
                  <w:rStyle w:val="InternetLink"/>
                  <w:rFonts w:ascii="Times New Roman;Times;serif" w:hAnsi="Times New Roman;Times;serif"/>
                  <w:color w:val="000000"/>
                  <w:sz w:val="20"/>
                </w:rPr>
                <w:t xml:space="preserve">F-5 </w:t>
              </w:r>
            </w:hyperlink>
          </w:p>
        </w:tc>
      </w:tr>
      <w:tr>
        <w:trPr/>
        <w:tc>
          <w:tcPr>
            <w:tcW w:w="9209" w:type="dxa"/>
            <w:tcBorders/>
            <w:shd w:fill="CCEEFF" w:val="clear"/>
            <w:vAlign w:val="center"/>
          </w:tcPr>
          <w:p>
            <w:pPr>
              <w:pStyle w:val="TableContents"/>
              <w:bidi w:val="0"/>
              <w:spacing w:before="0" w:after="283"/>
              <w:ind w:left="0" w:right="0" w:hanging="0"/>
              <w:jc w:val="left"/>
              <w:rPr/>
            </w:pPr>
            <w:hyperlink w:anchor="tNTU">
              <w:r>
                <w:rPr>
                  <w:rStyle w:val="InternetLink"/>
                  <w:rFonts w:ascii="Times New Roman;Times;serif" w:hAnsi="Times New Roman;Times;serif"/>
                  <w:color w:val="000000"/>
                  <w:sz w:val="20"/>
                </w:rPr>
                <w:t>NOTES TO UNAUDITED CONDENSED CONSOLIDATED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6" w:type="dxa"/>
            <w:tcBorders/>
            <w:shd w:fill="CCEEFF" w:val="clear"/>
            <w:vAlign w:val="center"/>
          </w:tcPr>
          <w:p>
            <w:pPr>
              <w:pStyle w:val="TableContents"/>
              <w:bidi w:val="0"/>
              <w:spacing w:before="0" w:after="283"/>
              <w:jc w:val="center"/>
              <w:rPr/>
            </w:pPr>
            <w:hyperlink w:anchor="tNTU">
              <w:r>
                <w:rPr>
                  <w:rStyle w:val="InternetLink"/>
                  <w:rFonts w:ascii="Times New Roman;Times;serif" w:hAnsi="Times New Roman;Times;serif"/>
                  <w:color w:val="000080"/>
                  <w:sz w:val="20"/>
                </w:rPr>
                <w:t xml:space="preserve">F-7 - </w:t>
              </w:r>
            </w:hyperlink>
            <w:hyperlink w:anchor="tNTU1">
              <w:r>
                <w:rPr>
                  <w:rStyle w:val="InternetLink"/>
                  <w:rFonts w:ascii="Times New Roman;Times;serif" w:hAnsi="Times New Roman;Times;serif"/>
                  <w:color w:val="000080"/>
                  <w:sz w:val="20"/>
                </w:rPr>
                <w:t>F-22</w:t>
              </w:r>
            </w:hyperlink>
          </w:p>
        </w:tc>
      </w:tr>
      <w:tr>
        <w:trPr/>
        <w:tc>
          <w:tcPr>
            <w:tcW w:w="920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6"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w:t>
      </w:r>
    </w:p>
    <w:p>
      <w:pPr>
        <w:pStyle w:val="HorizontalLine"/>
        <w:bidi w:val="0"/>
        <w:spacing w:before="200" w:after="200"/>
        <w:jc w:val="left"/>
        <w:rPr/>
      </w:pPr>
      <w:r>
        <w:rPr/>
      </w:r>
    </w:p>
    <w:p>
      <w:pPr>
        <w:pStyle w:val="TextBody"/>
        <w:bidi w:val="0"/>
        <w:spacing w:before="0" w:after="283"/>
        <w:jc w:val="left"/>
        <w:rPr/>
      </w:pPr>
      <w:r>
        <w:rPr/>
      </w:r>
      <w:bookmarkStart w:id="91" w:name="ny20075344x1_posam_201-fintab_pg1"/>
      <w:bookmarkStart w:id="92" w:name="ny20075344x1_posam_201-fintab_pg1"/>
      <w:bookmarkEnd w:id="92"/>
    </w:p>
    <w:p>
      <w:pPr>
        <w:pStyle w:val="TextBody"/>
        <w:bidi w:val="0"/>
        <w:jc w:val="left"/>
        <w:rPr/>
      </w:pPr>
      <w:hyperlink w:anchor="TOC">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93" w:name="tCCB"/>
      <w:bookmarkEnd w:id="93"/>
      <w:r>
        <w:rPr>
          <w:rFonts w:ascii="Times New Roman;Times;serif" w:hAnsi="Times New Roman;Times;serif"/>
          <w:b/>
          <w:color w:val="000000"/>
          <w:sz w:val="20"/>
          <w:shd w:fill="FFFFFF" w:val="clear"/>
        </w:rPr>
        <w:t>WATON FINANCIAL LIMITED</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UNAUDITED CONDENSED CONSOLIDATED BALANCE SHEETS</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(Amount in U.S. dollars, except for number of shares) </w:t>
      </w:r>
    </w:p>
    <w:tbl>
      <w:tblPr>
        <w:tblW w:w="10205" w:type="dxa"/>
        <w:jc w:val="left"/>
        <w:tblInd w:w="0" w:type="dxa"/>
        <w:tblLayout w:type="fixed"/>
        <w:tblCellMar>
          <w:top w:w="0" w:type="dxa"/>
          <w:left w:w="0" w:type="dxa"/>
          <w:bottom w:w="0" w:type="dxa"/>
          <w:right w:w="0" w:type="dxa"/>
        </w:tblCellMar>
      </w:tblPr>
      <w:tblGrid>
        <w:gridCol w:w="7480"/>
        <w:gridCol w:w="140"/>
        <w:gridCol w:w="140"/>
        <w:gridCol w:w="1074"/>
        <w:gridCol w:w="140"/>
        <w:gridCol w:w="140"/>
        <w:gridCol w:w="1091"/>
      </w:tblGrid>
      <w:tr>
        <w:trPr/>
        <w:tc>
          <w:tcPr>
            <w:tcW w:w="7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45" w:type="dxa"/>
            <w:gridSpan w:val="4"/>
            <w:tcBorders/>
            <w:vAlign w:val="center"/>
          </w:tcPr>
          <w:p>
            <w:pPr>
              <w:pStyle w:val="TableContents"/>
              <w:bidi w:val="0"/>
              <w:spacing w:before="0" w:after="0"/>
              <w:jc w:val="left"/>
              <w:rPr/>
            </w:pPr>
            <w:r>
              <w:rPr/>
              <w:t> </w:t>
            </w:r>
          </w:p>
        </w:tc>
      </w:tr>
      <w:tr>
        <w:trPr/>
        <w:tc>
          <w:tcPr>
            <w:tcW w:w="7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45" w:type="dxa"/>
            <w:gridSpan w:val="4"/>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tc>
      </w:tr>
      <w:tr>
        <w:trPr/>
        <w:tc>
          <w:tcPr>
            <w:tcW w:w="74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0"/>
              <w:jc w:val="center"/>
              <w:rPr>
                <w:color w:val="000000"/>
              </w:rPr>
            </w:pPr>
            <w:r>
              <w:rPr>
                <w:color w:val="000000"/>
              </w:rPr>
              <w:t> </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Current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0"/>
              <w:jc w:val="center"/>
              <w:rPr>
                <w:color w:val="000000"/>
              </w:rPr>
            </w:pPr>
            <w:r>
              <w:rPr>
                <w:color w:val="000000"/>
              </w:rPr>
              <w:t> </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14,347,536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7,717,087 </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segregated under regulatory requirements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15,535,468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6,183,232</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Receivables from: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0"/>
              <w:jc w:val="center"/>
              <w:rPr>
                <w:color w:val="000000"/>
              </w:rPr>
            </w:pPr>
            <w:r>
              <w:rPr>
                <w:color w:val="000000"/>
              </w:rPr>
              <w:t> </w:t>
            </w:r>
          </w:p>
        </w:tc>
      </w:tr>
      <w:tr>
        <w:trPr/>
        <w:tc>
          <w:tcPr>
            <w:tcW w:w="74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Clients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20,238,873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1,729,408</w:t>
            </w:r>
          </w:p>
        </w:tc>
      </w:tr>
      <w:tr>
        <w:trPr/>
        <w:tc>
          <w:tcPr>
            <w:tcW w:w="74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Clients −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4,826,387</w:t>
            </w:r>
          </w:p>
        </w:tc>
      </w:tr>
      <w:tr>
        <w:trPr/>
        <w:tc>
          <w:tcPr>
            <w:tcW w:w="74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Broker-dealers and clearing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9,220,122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1,739,276</w:t>
            </w:r>
          </w:p>
        </w:tc>
      </w:tr>
      <w:tr>
        <w:trPr/>
        <w:tc>
          <w:tcPr>
            <w:tcW w:w="7480" w:type="dxa"/>
            <w:tcBorders/>
            <w:shd w:fill="CCEEFF" w:val="clear"/>
            <w:vAlign w:val="center"/>
          </w:tcPr>
          <w:p>
            <w:pPr>
              <w:pStyle w:val="TableContents"/>
              <w:bidi w:val="0"/>
              <w:spacing w:before="0" w:after="283"/>
              <w:ind w:left="400" w:right="0" w:hanging="200"/>
              <w:jc w:val="left"/>
              <w:rPr>
                <w:rFonts w:ascii="Times New Roman;Times;serif" w:hAnsi="Times New Roman;Times;serif"/>
                <w:color w:val="000000"/>
                <w:sz w:val="20"/>
              </w:rPr>
            </w:pPr>
            <w:r>
              <w:rPr>
                <w:rFonts w:ascii="Times New Roman;Times;serif" w:hAnsi="Times New Roman;Times;serif"/>
                <w:color w:val="000000"/>
                <w:sz w:val="20"/>
              </w:rPr>
              <w:t>Software licensing (including subscription based) and related support services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600,000</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Contract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230,845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color w:val="000000"/>
              </w:rPr>
            </w:pPr>
            <w:r>
              <w:rPr>
                <w:color w:val="000000"/>
              </w:rPr>
              <w:t>—</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Contract assets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1,200,000</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Due from ST MA Ltd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447,570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449,877</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securities, at net asset value (“NAV”)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358,536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securities, at NAV–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color w:val="000000"/>
              </w:rPr>
            </w:pPr>
            <w:r>
              <w:rPr>
                <w:color w:val="000000"/>
              </w:rPr>
              <w:t>—</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1,319,774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893,051</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64,901,912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25,338,318</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330,162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123,297</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199,252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467,016</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Investment, cost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2,878,575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2,878,575</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method investment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189,932</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666,186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1,726,837</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$68,976,087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$30,723,975 </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Liabilities and Shareholders’ Equity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0"/>
              <w:jc w:val="center"/>
              <w:rPr>
                <w:color w:val="000000"/>
              </w:rPr>
            </w:pPr>
            <w:r>
              <w:rPr>
                <w:color w:val="000000"/>
              </w:rPr>
              <w:t> </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Current liabilities: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0"/>
              <w:jc w:val="center"/>
              <w:rPr>
                <w:color w:val="000000"/>
              </w:rPr>
            </w:pPr>
            <w:r>
              <w:rPr>
                <w:color w:val="000000"/>
              </w:rPr>
              <w:t> </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Payables to: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0"/>
              <w:jc w:val="center"/>
              <w:rPr>
                <w:color w:val="000000"/>
              </w:rPr>
            </w:pPr>
            <w:r>
              <w:rPr>
                <w:color w:val="000000"/>
              </w:rPr>
              <w:t> </w:t>
            </w:r>
          </w:p>
        </w:tc>
      </w:tr>
      <w:tr>
        <w:trPr/>
        <w:tc>
          <w:tcPr>
            <w:tcW w:w="74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Clients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23,783,079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6,163,171 </w:t>
            </w:r>
          </w:p>
        </w:tc>
      </w:tr>
      <w:tr>
        <w:trPr/>
        <w:tc>
          <w:tcPr>
            <w:tcW w:w="748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Clients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40,745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1,417,153</w:t>
            </w:r>
          </w:p>
        </w:tc>
      </w:tr>
      <w:tr>
        <w:trPr/>
        <w:tc>
          <w:tcPr>
            <w:tcW w:w="74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Broker-dealers and clearing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12,327,285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7,335,535</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Bank overdrafts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1,580,583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801,265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748,918</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Amounts due to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2,540,810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1,797,774</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 current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211,186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463,120</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41,284,953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17,925,671</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 non-current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30,561</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41,284,953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17,956,232</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Commitments and contingencies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color w:val="000000"/>
              </w:rPr>
            </w:pPr>
            <w:r>
              <w:rPr>
                <w:color w:val="000000"/>
              </w:rPr>
              <w:t>—</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Shareholders’ equity: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0"/>
              <w:jc w:val="center"/>
              <w:rPr>
                <w:color w:val="000000"/>
              </w:rPr>
            </w:pPr>
            <w:r>
              <w:rPr>
                <w:color w:val="000000"/>
              </w:rPr>
              <w:t> </w:t>
            </w:r>
          </w:p>
        </w:tc>
      </w:tr>
      <w:tr>
        <w:trPr/>
        <w:tc>
          <w:tcPr>
            <w:tcW w:w="748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Ordinary shares, unlimited shares authorized; no par value; 48,237,472 shares and 43,206,222 shares issued and outstanding as of September 30, 2025 and March 31, 2025, respectively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color w:val="000000"/>
              </w:rPr>
            </w:pPr>
            <w:r>
              <w:rPr>
                <w:color w:val="000000"/>
              </w:rPr>
              <w:t>—</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Additional paid-in capital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45,097,848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21,817,729</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deficit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(17,473,787)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(9,107,145)</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Accumulated other comprehensive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67,073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57,159</w:t>
            </w:r>
          </w:p>
        </w:tc>
      </w:tr>
      <w:tr>
        <w:trPr/>
        <w:tc>
          <w:tcPr>
            <w:tcW w:w="74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4"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27,691,134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1"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12,767,743</w:t>
            </w:r>
          </w:p>
        </w:tc>
      </w:tr>
      <w:tr>
        <w:trPr/>
        <w:tc>
          <w:tcPr>
            <w:tcW w:w="74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 AND 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$68,976,087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$30,723,975</w:t>
            </w:r>
          </w:p>
        </w:tc>
      </w:tr>
      <w:tr>
        <w:trPr/>
        <w:tc>
          <w:tcPr>
            <w:tcW w:w="74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accompanying notes are an integral part of the unaudited condensed consolidated financial statements.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w:t>
      </w:r>
    </w:p>
    <w:p>
      <w:pPr>
        <w:pStyle w:val="HorizontalLine"/>
        <w:bidi w:val="0"/>
        <w:spacing w:before="200" w:after="200"/>
        <w:jc w:val="left"/>
        <w:rPr/>
      </w:pPr>
      <w:r>
        <w:rPr/>
      </w:r>
    </w:p>
    <w:p>
      <w:pPr>
        <w:pStyle w:val="TextBody"/>
        <w:bidi w:val="0"/>
        <w:jc w:val="left"/>
        <w:rPr/>
      </w:pPr>
      <w:hyperlink w:anchor="TOC">
        <w:bookmarkStart w:id="94" w:name="ny20053887x8_posam_201-fintab_pg2"/>
        <w:bookmarkEnd w:id="9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95" w:name="tUCC"/>
      <w:bookmarkEnd w:id="95"/>
      <w:r>
        <w:rPr>
          <w:rFonts w:ascii="Times New Roman;Times;serif" w:hAnsi="Times New Roman;Times;serif"/>
          <w:b/>
          <w:color w:val="000000"/>
          <w:sz w:val="20"/>
          <w:shd w:fill="FFFFFF" w:val="clear"/>
        </w:rPr>
        <w:t>WATON FINANCIAL LIMITED</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UNAUDITED CONDENSED CONSOLIDATED STATEMENTS OF OPERATIONS AND COMPREHENSIVE LOSS</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(Amount in U.S. dollars, except for number of shares) </w:t>
      </w:r>
    </w:p>
    <w:tbl>
      <w:tblPr>
        <w:tblW w:w="10205" w:type="dxa"/>
        <w:jc w:val="left"/>
        <w:tblInd w:w="0" w:type="dxa"/>
        <w:tblLayout w:type="fixed"/>
        <w:tblCellMar>
          <w:top w:w="0" w:type="dxa"/>
          <w:left w:w="0" w:type="dxa"/>
          <w:bottom w:w="0" w:type="dxa"/>
          <w:right w:w="0" w:type="dxa"/>
        </w:tblCellMar>
      </w:tblPr>
      <w:tblGrid>
        <w:gridCol w:w="7066"/>
        <w:gridCol w:w="140"/>
        <w:gridCol w:w="140"/>
        <w:gridCol w:w="1235"/>
        <w:gridCol w:w="162"/>
        <w:gridCol w:w="162"/>
        <w:gridCol w:w="1300"/>
      </w:tblGrid>
      <w:tr>
        <w:trPr/>
        <w:tc>
          <w:tcPr>
            <w:tcW w:w="70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9" w:type="dxa"/>
            <w:gridSpan w:val="4"/>
            <w:tcBorders/>
            <w:vAlign w:val="center"/>
          </w:tcPr>
          <w:p>
            <w:pPr>
              <w:pStyle w:val="TableContents"/>
              <w:bidi w:val="0"/>
              <w:spacing w:before="0" w:after="0"/>
              <w:jc w:val="left"/>
              <w:rPr/>
            </w:pPr>
            <w:r>
              <w:rPr/>
              <w:t> </w:t>
            </w:r>
          </w:p>
        </w:tc>
      </w:tr>
      <w:tr>
        <w:trPr/>
        <w:tc>
          <w:tcPr>
            <w:tcW w:w="706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5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September 30, </w:t>
            </w:r>
          </w:p>
        </w:tc>
      </w:tr>
      <w:tr>
        <w:trPr/>
        <w:tc>
          <w:tcPr>
            <w:tcW w:w="706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Revenues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center"/>
              <w:rPr>
                <w:color w:val="000000"/>
              </w:rPr>
            </w:pPr>
            <w:r>
              <w:rPr>
                <w:color w:val="000000"/>
              </w:rPr>
              <w:t> </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0"/>
              <w:jc w:val="center"/>
              <w:rPr>
                <w:color w:val="000000"/>
              </w:rPr>
            </w:pPr>
            <w:r>
              <w:rPr>
                <w:color w:val="000000"/>
              </w:rPr>
              <w:t> </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Brokerage and commission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2,774,888</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396,547 </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Brokerage and commission income –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1,390,497</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892,837</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transactions and proprietary trading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315,337</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color w:val="000000"/>
              </w:rPr>
            </w:pPr>
            <w:r>
              <w:rPr>
                <w:color w:val="000000"/>
              </w:rPr>
              <w:t>—</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507,872</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2,562</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 –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452,808</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520,183</w:t>
            </w:r>
          </w:p>
        </w:tc>
      </w:tr>
      <w:tr>
        <w:trPr/>
        <w:tc>
          <w:tcPr>
            <w:tcW w:w="706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Software licensing (including subscription based) and related support services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261,498</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546,134</w:t>
            </w:r>
          </w:p>
        </w:tc>
      </w:tr>
      <w:tr>
        <w:trPr/>
        <w:tc>
          <w:tcPr>
            <w:tcW w:w="7066"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Software licensing (including subscription based) and related support services income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400,000</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600,000</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6,102,900</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2,958,263</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Operating costs and expenses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center"/>
              <w:rPr>
                <w:color w:val="000000"/>
              </w:rPr>
            </w:pPr>
            <w:r>
              <w:rPr>
                <w:color w:val="000000"/>
              </w:rPr>
              <w:t> </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0"/>
              <w:jc w:val="center"/>
              <w:rPr>
                <w:color w:val="000000"/>
              </w:rPr>
            </w:pPr>
            <w:r>
              <w:rPr>
                <w:color w:val="000000"/>
              </w:rPr>
              <w:t> </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Commissions and brokerage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1,639,072</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172,712</w:t>
            </w:r>
          </w:p>
        </w:tc>
      </w:tr>
      <w:tr>
        <w:trPr/>
        <w:tc>
          <w:tcPr>
            <w:tcW w:w="7066"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Software licensing (including subscription based) and related support outsourcing cost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487,860</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507,822</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353,587</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85,657</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and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2,123,489</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1,471,937</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Share-based compensation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6,104,672</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color w:val="000000"/>
              </w:rPr>
            </w:pPr>
            <w:r>
              <w:rPr>
                <w:color w:val="000000"/>
              </w:rPr>
              <w:t>—</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387,425</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color w:val="000000"/>
              </w:rPr>
            </w:pPr>
            <w:r>
              <w:rPr>
                <w:color w:val="000000"/>
              </w:rPr>
              <w:t>—</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Professional service fees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1,011,754</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771,165</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Market information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412,158</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332,094</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Lease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325,960</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315,013</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general and administrative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967,079</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224,117</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operating 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13,813,056</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3,880,517</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Operating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b/>
                <w:color w:val="000000"/>
                <w:sz w:val="20"/>
              </w:rPr>
            </w:pPr>
            <w:r>
              <w:rPr>
                <w:rFonts w:ascii="Times New Roman;Times;serif" w:hAnsi="Times New Roman;Times;serif"/>
                <w:b/>
                <w:color w:val="000000"/>
                <w:sz w:val="20"/>
              </w:rPr>
              <w:t>(7,710,156)</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rFonts w:ascii="Times New Roman;Times;serif" w:hAnsi="Times New Roman;Times;serif"/>
                <w:b/>
                <w:color w:val="000000"/>
                <w:sz w:val="20"/>
              </w:rPr>
            </w:pPr>
            <w:r>
              <w:rPr>
                <w:rFonts w:ascii="Times New Roman;Times;serif" w:hAnsi="Times New Roman;Times;serif"/>
                <w:b/>
                <w:color w:val="000000"/>
                <w:sz w:val="20"/>
              </w:rPr>
              <w:t>(922,254)</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income (loss):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center"/>
              <w:rPr>
                <w:color w:val="000000"/>
              </w:rPr>
            </w:pPr>
            <w:r>
              <w:rPr>
                <w:color w:val="000000"/>
              </w:rPr>
              <w:t> </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0"/>
              <w:jc w:val="center"/>
              <w:rPr>
                <w:color w:val="000000"/>
              </w:rPr>
            </w:pPr>
            <w:r>
              <w:rPr>
                <w:color w:val="000000"/>
              </w:rPr>
              <w:t> </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from foreign currency spread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180,236</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28,340</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equity method investment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(31,603)</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(341,428)</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NAV of investment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(741,482)</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color w:val="000000"/>
              </w:rPr>
            </w:pPr>
            <w:r>
              <w:rPr>
                <w:color w:val="000000"/>
              </w:rPr>
              <w:t>—</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(63,637)</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9,949</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other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(656,486)</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(303,139)</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Loss before income tax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b/>
                <w:color w:val="000000"/>
                <w:sz w:val="20"/>
              </w:rPr>
            </w:pPr>
            <w:r>
              <w:rPr>
                <w:rFonts w:ascii="Times New Roman;Times;serif" w:hAnsi="Times New Roman;Times;serif"/>
                <w:b/>
                <w:color w:val="000000"/>
                <w:sz w:val="20"/>
              </w:rPr>
              <w:t>(8,366,642)</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b/>
                <w:color w:val="000000"/>
                <w:sz w:val="20"/>
              </w:rPr>
            </w:pPr>
            <w:r>
              <w:rPr>
                <w:rFonts w:ascii="Times New Roman;Times;serif" w:hAnsi="Times New Roman;Times;serif"/>
                <w:b/>
                <w:color w:val="000000"/>
                <w:sz w:val="20"/>
              </w:rPr>
              <w:t>(1,225,393)</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color w:val="000000"/>
                <w:bdr w:val="single" w:sz="8" w:space="2" w:color="000000"/>
              </w:rPr>
            </w:pPr>
            <w:r>
              <w:rPr>
                <w:color w:val="000000"/>
                <w:bdr w:val="single" w:sz="8" w:space="2" w:color="000000"/>
              </w:rPr>
              <w:t>—</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77,138</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$(8,366,642)</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b/>
                <w:color w:val="000000"/>
                <w:sz w:val="20"/>
              </w:rPr>
            </w:pPr>
            <w:r>
              <w:rPr>
                <w:rFonts w:ascii="Times New Roman;Times;serif" w:hAnsi="Times New Roman;Times;serif"/>
                <w:b/>
                <w:color w:val="000000"/>
                <w:sz w:val="20"/>
                <w:bdr w:val="double" w:sz="8" w:space="1" w:color="000000"/>
              </w:rPr>
              <w:t>$(1,148,255)</w:t>
            </w:r>
            <w:r>
              <w:rPr>
                <w:rFonts w:ascii="Times New Roman;Times;serif" w:hAnsi="Times New Roman;Times;serif"/>
                <w:b/>
                <w:color w:val="000000"/>
                <w:sz w:val="20"/>
              </w:rPr>
              <w:t xml:space="preserve"> </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Net loss per ordinary share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center"/>
              <w:rPr>
                <w:color w:val="000000"/>
              </w:rPr>
            </w:pPr>
            <w:r>
              <w:rPr>
                <w:color w:val="000000"/>
              </w:rPr>
              <w:t> </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0"/>
              <w:jc w:val="center"/>
              <w:rPr>
                <w:color w:val="000000"/>
              </w:rPr>
            </w:pPr>
            <w:r>
              <w:rPr>
                <w:color w:val="000000"/>
              </w:rPr>
              <w:t> </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$(0.17)</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$(0.03)</w:t>
            </w:r>
            <w:r>
              <w:rPr>
                <w:rFonts w:ascii="Times New Roman;Times;serif" w:hAnsi="Times New Roman;Times;serif"/>
                <w:color w:val="000000"/>
                <w:sz w:val="20"/>
              </w:rPr>
              <w:t xml:space="preserve"> </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Weighted average ordinary shares outstanding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center"/>
              <w:rPr>
                <w:color w:val="000000"/>
              </w:rPr>
            </w:pPr>
            <w:r>
              <w:rPr>
                <w:color w:val="000000"/>
              </w:rPr>
              <w:t> </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0"/>
              <w:jc w:val="center"/>
              <w:rPr>
                <w:color w:val="000000"/>
              </w:rPr>
            </w:pPr>
            <w:r>
              <w:rPr>
                <w:color w:val="000000"/>
              </w:rPr>
              <w:t> </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48,209,979</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40,980,000 </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(8,366,642)</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(1,148,255) </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comprehensive income, net of tax: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center"/>
              <w:rPr>
                <w:color w:val="000000"/>
              </w:rPr>
            </w:pPr>
            <w:r>
              <w:rPr>
                <w:color w:val="000000"/>
              </w:rPr>
              <w:t> </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0"/>
              <w:jc w:val="center"/>
              <w:rPr>
                <w:color w:val="000000"/>
              </w:rPr>
            </w:pPr>
            <w:r>
              <w:rPr>
                <w:color w:val="000000"/>
              </w:rPr>
              <w:t> </w:t>
            </w:r>
          </w:p>
        </w:tc>
      </w:tr>
      <w:tr>
        <w:trPr/>
        <w:tc>
          <w:tcPr>
            <w:tcW w:w="70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Foreign currency translation adjustment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17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9,914</w:t>
            </w:r>
          </w:p>
        </w:tc>
        <w:tc>
          <w:tcPr>
            <w:tcW w:w="162" w:type="dxa"/>
            <w:tcBorders/>
            <w:vAlign w:val="center"/>
          </w:tcPr>
          <w:p>
            <w:pPr>
              <w:pStyle w:val="TableContents"/>
              <w:bidi w:val="0"/>
              <w:spacing w:before="0" w:after="0"/>
              <w:jc w:val="left"/>
              <w:rPr/>
            </w:pPr>
            <w:r>
              <w:rPr/>
              <w:t> </w:t>
            </w:r>
          </w:p>
        </w:tc>
        <w:tc>
          <w:tcPr>
            <w:tcW w:w="162"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17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68,477</w:t>
            </w:r>
          </w:p>
        </w:tc>
      </w:tr>
      <w:tr>
        <w:trPr/>
        <w:tc>
          <w:tcPr>
            <w:tcW w:w="706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comprehensive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17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$(8,356,728)</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174"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$(1,079,778)</w:t>
            </w:r>
          </w:p>
        </w:tc>
      </w:tr>
      <w:tr>
        <w:trPr/>
        <w:tc>
          <w:tcPr>
            <w:tcW w:w="706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62"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accompanying notes are an integral part of the unaudited condensed consolidated financial statements.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F-3</w:t>
      </w:r>
    </w:p>
    <w:p>
      <w:pPr>
        <w:pStyle w:val="HorizontalLine"/>
        <w:bidi w:val="0"/>
        <w:spacing w:before="200" w:after="200"/>
        <w:jc w:val="left"/>
        <w:rPr/>
      </w:pPr>
      <w:r>
        <w:rPr/>
      </w:r>
    </w:p>
    <w:p>
      <w:pPr>
        <w:pStyle w:val="TextBody"/>
        <w:bidi w:val="0"/>
        <w:jc w:val="left"/>
        <w:rPr/>
      </w:pPr>
      <w:hyperlink w:anchor="TOC">
        <w:bookmarkStart w:id="96" w:name="ny20053887x8_posam_201-fintab_pg3"/>
        <w:bookmarkEnd w:id="9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97" w:name="tUCCS"/>
      <w:bookmarkEnd w:id="97"/>
      <w:r>
        <w:rPr>
          <w:rFonts w:ascii="Times New Roman;Times;serif" w:hAnsi="Times New Roman;Times;serif"/>
          <w:b/>
          <w:color w:val="000000"/>
          <w:sz w:val="20"/>
          <w:shd w:fill="FFFFFF" w:val="clear"/>
        </w:rPr>
        <w:t>WATON FINANCIAL LIMITED</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UNAUDITED CONDENSED CONSOLIDATED STATEMENTS OF CHANGES IN SHAREHOLDERS’ EQUITY</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(Amount in U.S. dollars, except for number of shares) </w:t>
      </w:r>
    </w:p>
    <w:tbl>
      <w:tblPr>
        <w:tblW w:w="10205" w:type="dxa"/>
        <w:jc w:val="left"/>
        <w:tblInd w:w="0" w:type="dxa"/>
        <w:tblLayout w:type="fixed"/>
        <w:tblCellMar>
          <w:top w:w="0" w:type="dxa"/>
          <w:left w:w="0" w:type="dxa"/>
          <w:bottom w:w="0" w:type="dxa"/>
          <w:right w:w="0" w:type="dxa"/>
        </w:tblCellMar>
      </w:tblPr>
      <w:tblGrid>
        <w:gridCol w:w="3007"/>
        <w:gridCol w:w="140"/>
        <w:gridCol w:w="140"/>
        <w:gridCol w:w="830"/>
        <w:gridCol w:w="140"/>
        <w:gridCol w:w="140"/>
        <w:gridCol w:w="616"/>
        <w:gridCol w:w="140"/>
        <w:gridCol w:w="140"/>
        <w:gridCol w:w="920"/>
        <w:gridCol w:w="140"/>
        <w:gridCol w:w="140"/>
        <w:gridCol w:w="995"/>
        <w:gridCol w:w="140"/>
        <w:gridCol w:w="140"/>
        <w:gridCol w:w="1178"/>
        <w:gridCol w:w="140"/>
        <w:gridCol w:w="140"/>
        <w:gridCol w:w="979"/>
      </w:tblGrid>
      <w:tr>
        <w:trPr/>
        <w:tc>
          <w:tcPr>
            <w:tcW w:w="3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26"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0"/>
              <w:jc w:val="left"/>
              <w:rPr/>
            </w:pPr>
            <w:r>
              <w:rPr/>
              <w:t> </w:t>
            </w:r>
          </w:p>
        </w:tc>
      </w:tr>
      <w:tr>
        <w:trPr/>
        <w:tc>
          <w:tcPr>
            <w:tcW w:w="30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26"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Ordinary Shares</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2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9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deficit</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78"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comprehensive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 (loss)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979"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300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92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9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78"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979" w:type="dxa"/>
            <w:vMerge w:val="continue"/>
            <w:tcBorders>
              <w:bottom w:val="single" w:sz="8" w:space="0" w:color="000000"/>
            </w:tcBorders>
            <w:tcMar>
              <w:bottom w:w="48" w:type="dxa"/>
            </w:tcMar>
            <w:vAlign w:val="center"/>
          </w:tcPr>
          <w:p>
            <w:pPr>
              <w:pStyle w:val="Normal"/>
              <w:bidi w:val="0"/>
              <w:jc w:val="left"/>
              <w:rPr/>
            </w:pPr>
            <w:r>
              <w:rPr/>
            </w:r>
          </w:p>
        </w:tc>
      </w:tr>
      <w:tr>
        <w:trPr/>
        <w:tc>
          <w:tcPr>
            <w:tcW w:w="300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Balance as of April 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43,206,222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145" w:right="0" w:hanging="0"/>
              <w:jc w:val="left"/>
              <w:rPr>
                <w:rFonts w:ascii="Times New Roman;Times;serif" w:hAnsi="Times New Roman;Times;serif"/>
                <w:b/>
                <w:color w:val="000000"/>
                <w:sz w:val="18"/>
              </w:rPr>
            </w:pPr>
            <w:r>
              <w:rPr>
                <w:rFonts w:ascii="Times New Roman;Times;serif" w:hAnsi="Times New Roman;Times;serif"/>
                <w:b/>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$21,817,729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w:t>
            </w:r>
            <w:r>
              <w:rPr>
                <w:rFonts w:ascii="Times New Roman;Times;serif" w:hAnsi="Times New Roman;Times;serif"/>
                <w:b/>
                <w:color w:val="000000"/>
                <w:sz w:val="18"/>
              </w:rPr>
              <w:t>(9,107,145)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8" w:type="dxa"/>
            <w:tcBorders/>
            <w:shd w:fill="CCEEFF" w:val="clear"/>
            <w:vAlign w:val="center"/>
          </w:tcPr>
          <w:p>
            <w:pPr>
              <w:pStyle w:val="TableContents"/>
              <w:bidi w:val="0"/>
              <w:spacing w:before="0" w:after="283"/>
              <w:ind w:left="369" w:right="0" w:hanging="0"/>
              <w:jc w:val="left"/>
              <w:rPr>
                <w:rFonts w:ascii="Times New Roman;Times;serif" w:hAnsi="Times New Roman;Times;serif"/>
                <w:b/>
                <w:color w:val="000000"/>
                <w:sz w:val="18"/>
              </w:rPr>
            </w:pPr>
            <w:r>
              <w:rPr>
                <w:rFonts w:ascii="Times New Roman;Times;serif" w:hAnsi="Times New Roman;Times;serif"/>
                <w:b/>
                <w:color w:val="000000"/>
                <w:sz w:val="18"/>
              </w:rPr>
              <w:t>$57,159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ind w:left="15"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$12,767,743 </w:t>
            </w:r>
          </w:p>
        </w:tc>
      </w:tr>
      <w:tr>
        <w:trPr/>
        <w:tc>
          <w:tcPr>
            <w:tcW w:w="3007" w:type="dxa"/>
            <w:tcBorders/>
            <w:vAlign w:val="center"/>
          </w:tcPr>
          <w:p>
            <w:pPr>
              <w:pStyle w:val="TableContents"/>
              <w:bidi w:val="0"/>
              <w:spacing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Issuance of ordinary shares in connection with initial public offering, net of underwriting discounts and offering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5,031,250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14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17,175,447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8" w:type="dxa"/>
            <w:tcBorders/>
            <w:vAlign w:val="center"/>
          </w:tcPr>
          <w:p>
            <w:pPr>
              <w:pStyle w:val="TableContents"/>
              <w:bidi w:val="0"/>
              <w:spacing w:before="0" w:after="283"/>
              <w:ind w:left="36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283"/>
              <w:ind w:left="15" w:right="0" w:hanging="0"/>
              <w:jc w:val="left"/>
              <w:rPr>
                <w:rFonts w:ascii="Times New Roman;Times;serif" w:hAnsi="Times New Roman;Times;serif"/>
                <w:color w:val="000000"/>
                <w:sz w:val="18"/>
              </w:rPr>
            </w:pPr>
            <w:r>
              <w:rPr>
                <w:rFonts w:ascii="Times New Roman;Times;serif" w:hAnsi="Times New Roman;Times;serif"/>
                <w:color w:val="000000"/>
                <w:sz w:val="18"/>
              </w:rPr>
              <w:t>17,175,447</w:t>
            </w:r>
          </w:p>
        </w:tc>
      </w:tr>
      <w:tr>
        <w:trPr/>
        <w:tc>
          <w:tcPr>
            <w:tcW w:w="30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Share-based compensation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145"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6,104,672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8" w:type="dxa"/>
            <w:tcBorders/>
            <w:shd w:fill="CCEEFF" w:val="clear"/>
            <w:vAlign w:val="center"/>
          </w:tcPr>
          <w:p>
            <w:pPr>
              <w:pStyle w:val="TableContents"/>
              <w:bidi w:val="0"/>
              <w:spacing w:before="0" w:after="283"/>
              <w:ind w:left="369"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8"/>
              </w:rPr>
            </w:pPr>
            <w:r>
              <w:rPr>
                <w:rFonts w:ascii="Times New Roman;Times;serif" w:hAnsi="Times New Roman;Times;serif"/>
                <w:color w:val="000000"/>
                <w:sz w:val="18"/>
              </w:rPr>
              <w:t>6,104,672</w:t>
            </w:r>
          </w:p>
        </w:tc>
      </w:tr>
      <w:tr>
        <w:trPr/>
        <w:tc>
          <w:tcPr>
            <w:tcW w:w="3007"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14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(8,366,642)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8" w:type="dxa"/>
            <w:tcBorders/>
            <w:vAlign w:val="center"/>
          </w:tcPr>
          <w:p>
            <w:pPr>
              <w:pStyle w:val="TableContents"/>
              <w:bidi w:val="0"/>
              <w:spacing w:before="0" w:after="283"/>
              <w:ind w:left="36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283"/>
              <w:ind w:left="15" w:right="0" w:hanging="0"/>
              <w:jc w:val="left"/>
              <w:rPr>
                <w:rFonts w:ascii="Times New Roman;Times;serif" w:hAnsi="Times New Roman;Times;serif"/>
                <w:color w:val="000000"/>
                <w:sz w:val="18"/>
              </w:rPr>
            </w:pPr>
            <w:r>
              <w:rPr>
                <w:rFonts w:ascii="Times New Roman;Times;serif" w:hAnsi="Times New Roman;Times;serif"/>
                <w:color w:val="000000"/>
                <w:sz w:val="18"/>
              </w:rPr>
              <w:t>(8,366,642)</w:t>
            </w:r>
          </w:p>
        </w:tc>
      </w:tr>
      <w:tr>
        <w:trPr/>
        <w:tc>
          <w:tcPr>
            <w:tcW w:w="3007" w:type="dxa"/>
            <w:tcBorders/>
            <w:shd w:fill="CCEEFF" w:val="clear"/>
            <w:vAlign w:val="center"/>
          </w:tcPr>
          <w:p>
            <w:pPr>
              <w:pStyle w:val="TableContents"/>
              <w:bidi w:val="0"/>
              <w:spacing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Foreign currency translation adjustment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16" w:type="dxa"/>
            <w:tcBorders/>
            <w:shd w:fill="CCEEFF" w:val="clear"/>
            <w:vAlign w:val="center"/>
          </w:tcPr>
          <w:p>
            <w:pPr>
              <w:pStyle w:val="TableContents"/>
              <w:bidi w:val="0"/>
              <w:spacing w:before="0" w:after="283"/>
              <w:ind w:left="14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8" w:type="dxa"/>
            <w:tcBorders/>
            <w:shd w:fill="CCEEFF" w:val="clear"/>
            <w:vAlign w:val="center"/>
          </w:tcPr>
          <w:p>
            <w:pPr>
              <w:pStyle w:val="TableContents"/>
              <w:bidi w:val="0"/>
              <w:spacing w:before="0" w:after="283"/>
              <w:ind w:left="369"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9,914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9,914</w:t>
            </w:r>
          </w:p>
        </w:tc>
      </w:tr>
      <w:tr>
        <w:trPr/>
        <w:tc>
          <w:tcPr>
            <w:tcW w:w="3007"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Balance as of September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48,237,472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283"/>
              <w:ind w:left="145"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$45,097,848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$(17,473,787)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8" w:type="dxa"/>
            <w:tcBorders/>
            <w:vAlign w:val="center"/>
          </w:tcPr>
          <w:p>
            <w:pPr>
              <w:pStyle w:val="TableContents"/>
              <w:bidi w:val="0"/>
              <w:spacing w:before="0" w:after="283"/>
              <w:ind w:left="369"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$67,073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283"/>
              <w:ind w:left="15"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$27,691,134</w:t>
            </w:r>
          </w:p>
        </w:tc>
      </w:tr>
      <w:tr>
        <w:trPr/>
        <w:tc>
          <w:tcPr>
            <w:tcW w:w="300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0"/>
              <w:jc w:val="left"/>
              <w:rPr/>
            </w:pPr>
            <w:r>
              <w:rPr/>
              <w:t> </w:t>
            </w:r>
          </w:p>
        </w:tc>
      </w:tr>
    </w:tbl>
    <w:tbl>
      <w:tblPr>
        <w:tblW w:w="10190" w:type="dxa"/>
        <w:jc w:val="left"/>
        <w:tblInd w:w="0" w:type="dxa"/>
        <w:tblLayout w:type="fixed"/>
        <w:tblCellMar>
          <w:top w:w="0" w:type="dxa"/>
          <w:left w:w="0" w:type="dxa"/>
          <w:bottom w:w="0" w:type="dxa"/>
          <w:right w:w="0" w:type="dxa"/>
        </w:tblCellMar>
      </w:tblPr>
      <w:tblGrid>
        <w:gridCol w:w="2840"/>
        <w:gridCol w:w="140"/>
        <w:gridCol w:w="140"/>
        <w:gridCol w:w="830"/>
        <w:gridCol w:w="140"/>
        <w:gridCol w:w="140"/>
        <w:gridCol w:w="650"/>
        <w:gridCol w:w="140"/>
        <w:gridCol w:w="140"/>
        <w:gridCol w:w="830"/>
        <w:gridCol w:w="140"/>
        <w:gridCol w:w="140"/>
        <w:gridCol w:w="860"/>
        <w:gridCol w:w="140"/>
        <w:gridCol w:w="140"/>
        <w:gridCol w:w="1445"/>
        <w:gridCol w:w="140"/>
        <w:gridCol w:w="140"/>
        <w:gridCol w:w="1055"/>
      </w:tblGrid>
      <w:tr>
        <w:trPr/>
        <w:tc>
          <w:tcPr>
            <w:tcW w:w="28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Ordinary Shares</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3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86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Retained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earnings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44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comprehensive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 (loss)</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05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tc>
      </w:tr>
      <w:tr>
        <w:trPr/>
        <w:tc>
          <w:tcPr>
            <w:tcW w:w="28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83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860"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45" w:type="dxa"/>
            <w:vMerge w:val="continue"/>
            <w:tcBorders>
              <w:bottom w:val="single" w:sz="8" w:space="0" w:color="000000"/>
            </w:tcBorders>
            <w:tcMar>
              <w:bottom w:w="4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055" w:type="dxa"/>
            <w:vMerge w:val="continue"/>
            <w:tcBorders>
              <w:bottom w:val="single" w:sz="8" w:space="0" w:color="000000"/>
            </w:tcBorders>
            <w:tcMar>
              <w:bottom w:w="48" w:type="dxa"/>
            </w:tcMar>
            <w:vAlign w:val="center"/>
          </w:tcPr>
          <w:p>
            <w:pPr>
              <w:pStyle w:val="Normal"/>
              <w:bidi w:val="0"/>
              <w:jc w:val="left"/>
              <w:rPr/>
            </w:pPr>
            <w:r>
              <w:rPr/>
            </w:r>
          </w:p>
        </w:tc>
      </w:tr>
      <w:tr>
        <w:trPr/>
        <w:tc>
          <w:tcPr>
            <w:tcW w:w="28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Balance as of April 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40,980,000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5" w:right="0" w:hanging="0"/>
              <w:jc w:val="left"/>
              <w:rPr>
                <w:rFonts w:ascii="Times New Roman;Times;serif" w:hAnsi="Times New Roman;Times;serif"/>
                <w:b/>
                <w:color w:val="000000"/>
                <w:sz w:val="18"/>
              </w:rPr>
            </w:pPr>
            <w:r>
              <w:rPr>
                <w:rFonts w:ascii="Times New Roman;Times;serif" w:hAnsi="Times New Roman;Times;serif"/>
                <w:b/>
                <w:color w:val="000000"/>
                <w:sz w:val="18"/>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$7,908,000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w:t>
            </w:r>
            <w:r>
              <w:rPr>
                <w:rFonts w:ascii="Times New Roman;Times;serif" w:hAnsi="Times New Roman;Times;serif"/>
                <w:b/>
                <w:color w:val="000000"/>
                <w:sz w:val="18"/>
              </w:rPr>
              <w:t>2,860,360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339" w:right="0" w:hanging="0"/>
              <w:jc w:val="left"/>
              <w:rPr>
                <w:rFonts w:ascii="Times New Roman;Times;serif" w:hAnsi="Times New Roman;Times;serif"/>
                <w:b/>
                <w:color w:val="000000"/>
                <w:sz w:val="18"/>
              </w:rPr>
            </w:pPr>
            <w:r>
              <w:rPr>
                <w:rFonts w:ascii="Times New Roman;Times;serif" w:hAnsi="Times New Roman;Times;serif"/>
                <w:b/>
                <w:color w:val="000000"/>
                <w:sz w:val="18"/>
              </w:rPr>
              <w:t>$(26,307)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$10,742,053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5"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(1,148,255)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339"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 w:right="0" w:hanging="0"/>
              <w:jc w:val="left"/>
              <w:rPr>
                <w:rFonts w:ascii="Times New Roman;Times;serif" w:hAnsi="Times New Roman;Times;serif"/>
                <w:color w:val="000000"/>
                <w:sz w:val="18"/>
              </w:rPr>
            </w:pPr>
            <w:r>
              <w:rPr>
                <w:rFonts w:ascii="Times New Roman;Times;serif" w:hAnsi="Times New Roman;Times;serif"/>
                <w:color w:val="000000"/>
                <w:sz w:val="18"/>
              </w:rPr>
              <w:t>(1,148,255)</w:t>
            </w:r>
          </w:p>
        </w:tc>
      </w:tr>
      <w:tr>
        <w:trPr/>
        <w:tc>
          <w:tcPr>
            <w:tcW w:w="2840" w:type="dxa"/>
            <w:tcBorders/>
            <w:shd w:fill="CCEEFF" w:val="clear"/>
            <w:vAlign w:val="center"/>
          </w:tcPr>
          <w:p>
            <w:pPr>
              <w:pStyle w:val="TableContents"/>
              <w:bidi w:val="0"/>
              <w:spacing w:before="0" w:after="283"/>
              <w:ind w:left="180" w:right="0" w:hanging="180"/>
              <w:jc w:val="left"/>
              <w:rPr>
                <w:rFonts w:ascii="Times New Roman;Times;serif" w:hAnsi="Times New Roman;Times;serif"/>
                <w:color w:val="000000"/>
                <w:sz w:val="18"/>
              </w:rPr>
            </w:pPr>
            <w:r>
              <w:rPr>
                <w:rFonts w:ascii="Times New Roman;Times;serif" w:hAnsi="Times New Roman;Times;serif"/>
                <w:color w:val="000000"/>
                <w:sz w:val="18"/>
              </w:rPr>
              <w:t>Foreign currency translation adjustment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145"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339"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68,477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18"/>
                <w:bdr w:val="single" w:sz="8" w:space="2" w:color="000000"/>
              </w:rPr>
            </w:pPr>
            <w:r>
              <w:rPr>
                <w:rFonts w:ascii="Times New Roman;Times;serif" w:hAnsi="Times New Roman;Times;serif"/>
                <w:color w:val="000000"/>
                <w:sz w:val="18"/>
                <w:bdr w:val="single" w:sz="8" w:space="2" w:color="000000"/>
              </w:rPr>
              <w:t>68,477</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Balance as of September 30, 2024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40,980,000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145"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$7,908,000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$1,712,105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339"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 xml:space="preserve">$42,170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 w:right="0" w:hanging="0"/>
              <w:jc w:val="left"/>
              <w:rPr>
                <w:rFonts w:ascii="Times New Roman;Times;serif" w:hAnsi="Times New Roman;Times;serif"/>
                <w:b/>
                <w:color w:val="000000"/>
                <w:sz w:val="18"/>
                <w:bdr w:val="double" w:sz="8" w:space="1" w:color="000000"/>
              </w:rPr>
            </w:pPr>
            <w:r>
              <w:rPr>
                <w:rFonts w:ascii="Times New Roman;Times;serif" w:hAnsi="Times New Roman;Times;serif"/>
                <w:b/>
                <w:color w:val="000000"/>
                <w:sz w:val="18"/>
                <w:bdr w:val="double" w:sz="8" w:space="1" w:color="000000"/>
              </w:rPr>
              <w:t>$9,662,275</w:t>
            </w:r>
          </w:p>
        </w:tc>
      </w:tr>
      <w:tr>
        <w:trPr/>
        <w:tc>
          <w:tcPr>
            <w:tcW w:w="28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accompanying notes are an integral part of the unaudited condensed consolidated financial statements.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F-4</w:t>
      </w:r>
    </w:p>
    <w:p>
      <w:pPr>
        <w:pStyle w:val="HorizontalLine"/>
        <w:bidi w:val="0"/>
        <w:spacing w:before="200" w:after="200"/>
        <w:jc w:val="left"/>
        <w:rPr/>
      </w:pPr>
      <w:r>
        <w:rPr/>
      </w:r>
    </w:p>
    <w:p>
      <w:pPr>
        <w:pStyle w:val="TextBody"/>
        <w:bidi w:val="0"/>
        <w:jc w:val="left"/>
        <w:rPr/>
      </w:pPr>
      <w:hyperlink w:anchor="TOC">
        <w:bookmarkStart w:id="98" w:name="ny20053887x8_posam_201-fintab_pg4"/>
        <w:bookmarkEnd w:id="9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99" w:name="tUCCSO"/>
      <w:bookmarkEnd w:id="99"/>
      <w:r>
        <w:rPr>
          <w:rFonts w:ascii="Times New Roman;Times;serif" w:hAnsi="Times New Roman;Times;serif"/>
          <w:b/>
          <w:color w:val="000000"/>
          <w:sz w:val="20"/>
          <w:shd w:fill="FFFFFF" w:val="clear"/>
        </w:rPr>
        <w:t>WATON FINANCIAL LIMITED</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UNAUDITED CONDENSED CONSOLIDATED STATEMENTS OF CASH FLOWS</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(Amount in U.S. dollars, except for number of shares) </w:t>
      </w:r>
    </w:p>
    <w:tbl>
      <w:tblPr>
        <w:tblW w:w="10205" w:type="dxa"/>
        <w:jc w:val="left"/>
        <w:tblInd w:w="0" w:type="dxa"/>
        <w:tblLayout w:type="fixed"/>
        <w:tblCellMar>
          <w:top w:w="0" w:type="dxa"/>
          <w:left w:w="0" w:type="dxa"/>
          <w:bottom w:w="0" w:type="dxa"/>
          <w:right w:w="0" w:type="dxa"/>
        </w:tblCellMar>
      </w:tblPr>
      <w:tblGrid>
        <w:gridCol w:w="7477"/>
        <w:gridCol w:w="140"/>
        <w:gridCol w:w="140"/>
        <w:gridCol w:w="1067"/>
        <w:gridCol w:w="140"/>
        <w:gridCol w:w="140"/>
        <w:gridCol w:w="1101"/>
      </w:tblGrid>
      <w:tr>
        <w:trPr/>
        <w:tc>
          <w:tcPr>
            <w:tcW w:w="74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48" w:type="dxa"/>
            <w:gridSpan w:val="4"/>
            <w:tcBorders/>
            <w:vAlign w:val="center"/>
          </w:tcPr>
          <w:p>
            <w:pPr>
              <w:pStyle w:val="TableContents"/>
              <w:bidi w:val="0"/>
              <w:spacing w:before="0" w:after="0"/>
              <w:jc w:val="left"/>
              <w:rPr/>
            </w:pPr>
            <w:r>
              <w:rPr/>
              <w:t> </w:t>
            </w:r>
          </w:p>
        </w:tc>
      </w:tr>
      <w:tr>
        <w:trPr/>
        <w:tc>
          <w:tcPr>
            <w:tcW w:w="74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4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tc>
      </w:tr>
      <w:tr>
        <w:trPr/>
        <w:tc>
          <w:tcPr>
            <w:tcW w:w="74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flows from operating activities: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0"/>
              <w:jc w:val="center"/>
              <w:rPr>
                <w:color w:val="000000"/>
              </w:rPr>
            </w:pPr>
            <w:r>
              <w:rPr>
                <w:color w:val="000000"/>
              </w:rPr>
              <w:t> </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(8,366,642)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(1,148,255) </w:t>
            </w:r>
          </w:p>
        </w:tc>
      </w:tr>
      <w:tr>
        <w:trPr/>
        <w:tc>
          <w:tcPr>
            <w:tcW w:w="7477"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 xml:space="preserve">Adjustments to reconcile net loss to net cash used in operating activities: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0"/>
              <w:jc w:val="center"/>
              <w:rPr>
                <w:color w:val="000000"/>
              </w:rPr>
            </w:pPr>
            <w:r>
              <w:rPr>
                <w:color w:val="000000"/>
              </w:rPr>
              <w:t> </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Depreciation and amortization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73,184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55,067</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Amortization of operating right-of-use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267,701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252,730</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Share-based compensation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6,104,672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color w:val="000000"/>
              </w:rPr>
            </w:pPr>
            <w:r>
              <w:rPr>
                <w:color w:val="000000"/>
              </w:rPr>
              <w:t>—</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Changes in NAV of investment securities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741,482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from equity method investment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31,603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341,428</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(77,138)</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Changes in operating assets and liabilities: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0"/>
              <w:jc w:val="center"/>
              <w:rPr>
                <w:color w:val="000000"/>
              </w:rPr>
            </w:pPr>
            <w:r>
              <w:rPr>
                <w:color w:val="000000"/>
              </w:rPr>
              <w:t> </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from clients, including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(13,686,266)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9,159,102</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from broker-dealers and clearing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(7,480,846)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(1,004,214)</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from software licensing and related support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30,839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(260,370)</w:t>
            </w:r>
          </w:p>
        </w:tc>
      </w:tr>
      <w:tr>
        <w:trPr/>
        <w:tc>
          <w:tcPr>
            <w:tcW w:w="747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Receivables and contract assets from software licensing and related support services, including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(661,684)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color w:val="000000"/>
              </w:rPr>
            </w:pPr>
            <w:r>
              <w:rPr>
                <w:color w:val="000000"/>
              </w:rPr>
              <w:t>—</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(266,110)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(901,037)</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217,523</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Payables to clients, including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16,243,500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(9,143,454)</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Payables to broker-dealers and clearing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4,991,750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24,677</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expenses and other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52,348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(304,038)</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Amounts due to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762,213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507,822</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(282,432)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(267,405)</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operating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(1,444,659)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(2,547,562)</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flows from investing activities: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0"/>
              <w:jc w:val="center"/>
              <w:rPr>
                <w:color w:val="000000"/>
              </w:rPr>
            </w:pPr>
            <w:r>
              <w:rPr>
                <w:color w:val="000000"/>
              </w:rPr>
              <w:t> </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 of property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(278,515)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(7,081)</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Purchase of investment securities, at NAV, including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used in investing activities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(2,378,515)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(7,081)</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flows from financing activities: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0"/>
              <w:jc w:val="center"/>
              <w:rPr>
                <w:color w:val="000000"/>
              </w:rPr>
            </w:pPr>
            <w:r>
              <w:rPr>
                <w:color w:val="000000"/>
              </w:rPr>
              <w:t> </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bank overdrafts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1,580,583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color w:val="000000"/>
              </w:rPr>
            </w:pPr>
            <w:r>
              <w:rPr>
                <w:color w:val="000000"/>
              </w:rPr>
              <w:t>—</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Repayment of borrowings from a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(19,177)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(1,800,000)</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for deferred offering costs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(280,700)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(96,484)</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Proceeds from initial public offering, net of underwriting discount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18,515,000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payment for finance lease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(2,036)</w:t>
            </w:r>
          </w:p>
        </w:tc>
      </w:tr>
      <w:tr>
        <w:trPr/>
        <w:tc>
          <w:tcPr>
            <w:tcW w:w="747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cash provided by (used in) financing activities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19,794,171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single" w:sz="8" w:space="2" w:color="000000"/>
              </w:rPr>
            </w:pPr>
            <w:r>
              <w:rPr>
                <w:rFonts w:ascii="Times New Roman;Times;serif" w:hAnsi="Times New Roman;Times;serif"/>
                <w:b/>
                <w:color w:val="000000"/>
                <w:sz w:val="20"/>
                <w:bdr w:val="single" w:sz="8" w:space="2" w:color="000000"/>
              </w:rPr>
              <w:t>(1,898,520)</w:t>
            </w:r>
          </w:p>
        </w:tc>
      </w:tr>
      <w:tr>
        <w:trPr/>
        <w:tc>
          <w:tcPr>
            <w:tcW w:w="74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 of exchange rate changes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48,549</w:t>
            </w:r>
          </w:p>
        </w:tc>
      </w:tr>
      <w:tr>
        <w:trPr/>
        <w:tc>
          <w:tcPr>
            <w:tcW w:w="747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increase (decrease) in cash, cash equivalents and cash segregated under regulatory requirements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15,982,685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(4,404,614)</w:t>
            </w:r>
          </w:p>
        </w:tc>
      </w:tr>
      <w:tr>
        <w:trPr/>
        <w:tc>
          <w:tcPr>
            <w:tcW w:w="747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Cash, cash equivalents and cash segregated under regulatory requirements at the beginning of the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67"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13,900,319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1"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10,652,186</w:t>
            </w:r>
          </w:p>
        </w:tc>
      </w:tr>
      <w:tr>
        <w:trPr/>
        <w:tc>
          <w:tcPr>
            <w:tcW w:w="7477"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Cash, cash equivalents and cash segregated for regulatory requirements at the end of the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$29,883,004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 xml:space="preserve">$6,247,572 </w:t>
            </w:r>
          </w:p>
        </w:tc>
      </w:tr>
      <w:tr>
        <w:trPr/>
        <w:tc>
          <w:tcPr>
            <w:tcW w:w="747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1"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accompanying notes are an integral part of the unaudited condensed consolidated financial statements.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F-5</w:t>
      </w:r>
    </w:p>
    <w:p>
      <w:pPr>
        <w:pStyle w:val="HorizontalLine"/>
        <w:bidi w:val="0"/>
        <w:spacing w:before="200" w:after="200"/>
        <w:jc w:val="left"/>
        <w:rPr/>
      </w:pPr>
      <w:r>
        <w:rPr/>
      </w:r>
    </w:p>
    <w:p>
      <w:pPr>
        <w:pStyle w:val="TextBody"/>
        <w:bidi w:val="0"/>
        <w:jc w:val="left"/>
        <w:rPr/>
      </w:pPr>
      <w:hyperlink w:anchor="TOC">
        <w:bookmarkStart w:id="100" w:name="ny20053887x8_posam_201-fintab_pg5"/>
        <w:bookmarkEnd w:id="100"/>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7598"/>
        <w:gridCol w:w="140"/>
        <w:gridCol w:w="140"/>
        <w:gridCol w:w="1055"/>
        <w:gridCol w:w="140"/>
        <w:gridCol w:w="140"/>
        <w:gridCol w:w="992"/>
      </w:tblGrid>
      <w:tr>
        <w:trPr/>
        <w:tc>
          <w:tcPr>
            <w:tcW w:w="759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7" w:type="dxa"/>
            <w:gridSpan w:val="4"/>
            <w:tcBorders/>
            <w:vAlign w:val="center"/>
          </w:tcPr>
          <w:p>
            <w:pPr>
              <w:pStyle w:val="TableContents"/>
              <w:bidi w:val="0"/>
              <w:spacing w:before="0" w:after="0"/>
              <w:jc w:val="left"/>
              <w:rPr/>
            </w:pPr>
            <w:r>
              <w:rPr/>
              <w:t> </w:t>
            </w:r>
          </w:p>
        </w:tc>
      </w:tr>
      <w:tr>
        <w:trPr/>
        <w:tc>
          <w:tcPr>
            <w:tcW w:w="75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2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tc>
      </w:tr>
      <w:tr>
        <w:trPr/>
        <w:tc>
          <w:tcPr>
            <w:tcW w:w="75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0205" w:type="dxa"/>
            <w:gridSpan w:val="7"/>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Reconciliation of cash, cash equivalents and cash segregated under regulatory requirements </w:t>
            </w:r>
          </w:p>
        </w:tc>
      </w:tr>
      <w:tr>
        <w:trPr/>
        <w:tc>
          <w:tcPr>
            <w:tcW w:w="75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$14,347,536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$3,053,691 </w:t>
            </w:r>
          </w:p>
        </w:tc>
      </w:tr>
      <w:tr>
        <w:trPr/>
        <w:tc>
          <w:tcPr>
            <w:tcW w:w="75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segregated under regulatory requirements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15,535,468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3,193,881</w:t>
            </w:r>
          </w:p>
        </w:tc>
      </w:tr>
      <w:tr>
        <w:trPr/>
        <w:tc>
          <w:tcPr>
            <w:tcW w:w="7598"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Cash, cash equivalents and cash segregated under regulatory requirements at the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$29,883,004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 xml:space="preserve">$6,247,572 </w:t>
            </w:r>
          </w:p>
        </w:tc>
      </w:tr>
      <w:tr>
        <w:trPr/>
        <w:tc>
          <w:tcPr>
            <w:tcW w:w="759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Supplemental disclosure of cash flow information: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center"/>
              <w:rPr>
                <w:color w:val="000000"/>
              </w:rPr>
            </w:pPr>
            <w:r>
              <w:rPr>
                <w:color w:val="000000"/>
              </w:rPr>
              <w:t> </w:t>
            </w:r>
          </w:p>
        </w:tc>
      </w:tr>
      <w:tr>
        <w:trPr/>
        <w:tc>
          <w:tcPr>
            <w:tcW w:w="75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taxes paid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75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paid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332,373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60,051 </w:t>
            </w:r>
          </w:p>
        </w:tc>
      </w:tr>
      <w:tr>
        <w:trPr/>
        <w:tc>
          <w:tcPr>
            <w:tcW w:w="759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0"/>
              <w:jc w:val="center"/>
              <w:rPr>
                <w:color w:val="000000"/>
              </w:rPr>
            </w:pPr>
            <w:r>
              <w:rPr>
                <w:color w:val="000000"/>
              </w:rPr>
              <w:t> </w:t>
            </w:r>
          </w:p>
        </w:tc>
      </w:tr>
      <w:tr>
        <w:trPr/>
        <w:tc>
          <w:tcPr>
            <w:tcW w:w="7598"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Supplemental schedule of non-cash investing and financing activities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center"/>
              <w:rPr>
                <w:color w:val="000000"/>
              </w:rPr>
            </w:pPr>
            <w:r>
              <w:rPr>
                <w:color w:val="000000"/>
              </w:rPr>
              <w:t> </w:t>
            </w:r>
          </w:p>
        </w:tc>
      </w:tr>
      <w:tr>
        <w:trPr/>
        <w:tc>
          <w:tcPr>
            <w:tcW w:w="759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Non-cash deferred offering costs offset against accrued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​1,341,321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759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receivables from disposal of equity method investment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899,639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7598"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Obtaining operating right-of-use assets in exchange for 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2"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977,696 </w:t>
            </w:r>
          </w:p>
        </w:tc>
      </w:tr>
      <w:tr>
        <w:trPr/>
        <w:tc>
          <w:tcPr>
            <w:tcW w:w="759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Non-cash settlement of receivable from software licensing and related support services – related party offset against payables to clients – related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$​330,580</w:t>
            </w:r>
          </w:p>
        </w:tc>
      </w:tr>
      <w:tr>
        <w:trPr/>
        <w:tc>
          <w:tcPr>
            <w:tcW w:w="759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2"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accompanying notes are an integral part of the unaudited condensed consolidated financial statements.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F-6</w:t>
      </w:r>
    </w:p>
    <w:p>
      <w:pPr>
        <w:pStyle w:val="HorizontalLine"/>
        <w:bidi w:val="0"/>
        <w:spacing w:before="200" w:after="200"/>
        <w:jc w:val="left"/>
        <w:rPr/>
      </w:pPr>
      <w:r>
        <w:rPr/>
      </w:r>
    </w:p>
    <w:p>
      <w:pPr>
        <w:pStyle w:val="TextBody"/>
        <w:bidi w:val="0"/>
        <w:jc w:val="left"/>
        <w:rPr/>
      </w:pPr>
      <w:hyperlink w:anchor="TOC">
        <w:bookmarkStart w:id="101" w:name="ny20053887x8_posam_202-finnotes_pg1"/>
        <w:bookmarkEnd w:id="10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p>
      <w:pPr>
        <w:pStyle w:val="Normal"/>
        <w:bidi w:val="0"/>
        <w:spacing w:before="0" w:after="0"/>
        <w:jc w:val="left"/>
        <w:rPr>
          <w:sz w:val="4"/>
          <w:szCs w:val="4"/>
        </w:rPr>
      </w:pPr>
      <w:r>
        <w:rPr>
          <w:sz w:val="4"/>
          <w:szCs w:val="4"/>
        </w:rPr>
      </w:r>
      <w:bookmarkStart w:id="102" w:name="tNTU"/>
      <w:bookmarkStart w:id="103" w:name="tNTU"/>
      <w:bookmarkEnd w:id="103"/>
    </w:p>
    <w:tbl>
      <w:tblPr>
        <w:tblW w:w="4900" w:type="dxa"/>
        <w:jc w:val="left"/>
        <w:tblInd w:w="0" w:type="dxa"/>
        <w:tblLayout w:type="fixed"/>
        <w:tblCellMar>
          <w:top w:w="0" w:type="dxa"/>
          <w:left w:w="0" w:type="dxa"/>
          <w:bottom w:w="0" w:type="dxa"/>
          <w:right w:w="0" w:type="dxa"/>
        </w:tblCellMar>
      </w:tblPr>
      <w:tblGrid>
        <w:gridCol w:w="170"/>
        <w:gridCol w:w="473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47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ORGANIZATION AND DESCRIPTION OF BUSINESS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Waton Financial Limited (“Waton Financial” or the “Company”), is a holding company incorporated in the British Virgin Islands with limited liability on June 25, 2010 under the original name of “IAM Group Inc.”, which name was changed to “Waton Financial Limited” on July 5, 2023, and conducts its business mainly through its subsidiaries in Hong Kong (hereafter, the “Group”), namely Waton Securities International Limited (“WSI”). WSI principally engaged in the provision of (i) securities brokerage and distribution services, margin financing services and other ancillary services; and (ii) software licensing and related support services, including licensing and Software-as-a-Service (“SaaS”) based delivery of trading platform applications, upgrades and enhancements, maintenance and other related services to securities brokers and financial institutions. Since September 2023, Waton Technology International Limited (“WTI”) has engaged in the provision of software licensing and related support services, including licensing of trading platform applications, upgrades and enhancements, maintenance and other related services to securities brokers and financial institutions. </w:t>
      </w:r>
    </w:p>
    <w:p>
      <w:pPr>
        <w:pStyle w:val="TextBody"/>
        <w:bidi w:val="0"/>
        <w:spacing w:before="16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September 30, 2025, the Company’s operating subsidiaries are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1849"/>
        <w:gridCol w:w="140"/>
        <w:gridCol w:w="140"/>
        <w:gridCol w:w="1302"/>
        <w:gridCol w:w="140"/>
        <w:gridCol w:w="140"/>
        <w:gridCol w:w="1756"/>
        <w:gridCol w:w="140"/>
        <w:gridCol w:w="140"/>
        <w:gridCol w:w="823"/>
        <w:gridCol w:w="140"/>
        <w:gridCol w:w="140"/>
        <w:gridCol w:w="3355"/>
      </w:tblGrid>
      <w:tr>
        <w:trPr/>
        <w:tc>
          <w:tcPr>
            <w:tcW w:w="18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5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5" w:type="dxa"/>
            <w:tcBorders/>
            <w:vAlign w:val="center"/>
          </w:tcPr>
          <w:p>
            <w:pPr>
              <w:pStyle w:val="TableContents"/>
              <w:bidi w:val="0"/>
              <w:spacing w:before="0" w:after="0"/>
              <w:jc w:val="left"/>
              <w:rPr/>
            </w:pPr>
            <w:r>
              <w:rPr/>
              <w:t> </w:t>
            </w:r>
          </w:p>
        </w:tc>
      </w:tr>
      <w:tr>
        <w:trPr/>
        <w:tc>
          <w:tcPr>
            <w:tcW w:w="184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Entity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Major business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activities </w:t>
            </w:r>
          </w:p>
        </w:tc>
      </w:tr>
      <w:tr>
        <w:trPr/>
        <w:tc>
          <w:tcPr>
            <w:tcW w:w="1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Waton Securities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International Limited (“WSI”)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April 28, 1989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5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Hong Kong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3"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Broker services and software licensing and related support services</w:t>
            </w:r>
          </w:p>
        </w:tc>
      </w:tr>
      <w:tr>
        <w:trPr/>
        <w:tc>
          <w:tcPr>
            <w:tcW w:w="1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Waton Technology </w:t>
            </w:r>
          </w:p>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International Limited (“WTI”)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February 24,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5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Hong Kong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3"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Software licensing and related support services</w:t>
            </w:r>
          </w:p>
        </w:tc>
      </w:tr>
      <w:tr>
        <w:trPr/>
        <w:tc>
          <w:tcPr>
            <w:tcW w:w="1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Waton Sponsor Limited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September 7, 2023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5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British Virgin Islands(“BVI”)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3"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Sponsor of a special purpose acquisition company</w:t>
            </w:r>
          </w:p>
        </w:tc>
      </w:tr>
      <w:tr>
        <w:trPr/>
        <w:tc>
          <w:tcPr>
            <w:tcW w:w="1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Love &amp; Health 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October 3, 2023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5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Cayman Islands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3"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Special Purpose Acquisition Company</w:t>
            </w:r>
          </w:p>
        </w:tc>
      </w:tr>
      <w:tr>
        <w:trPr/>
        <w:tc>
          <w:tcPr>
            <w:tcW w:w="1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Descart Limited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February 23,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5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United States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3"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General holding</w:t>
            </w:r>
          </w:p>
        </w:tc>
      </w:tr>
      <w:tr>
        <w:trPr/>
        <w:tc>
          <w:tcPr>
            <w:tcW w:w="184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5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55" w:type="dxa"/>
            <w:tcBorders/>
            <w:shd w:fill="CCEEFF" w:val="clear"/>
            <w:vAlign w:val="center"/>
          </w:tcPr>
          <w:p>
            <w:pPr>
              <w:pStyle w:val="TableContents"/>
              <w:bidi w:val="0"/>
              <w:spacing w:before="0" w:after="0"/>
              <w:jc w:val="left"/>
              <w:rPr/>
            </w:pPr>
            <w:r>
              <w:rPr/>
              <w:t> </w:t>
            </w:r>
          </w:p>
        </w:tc>
      </w:tr>
    </w:tbl>
    <w:p>
      <w:pPr>
        <w:pStyle w:val="TextBody"/>
        <w:bidi w:val="0"/>
        <w:spacing w:before="255" w:after="20"/>
        <w:ind w:left="400" w:right="0" w:hanging="0"/>
        <w:jc w:val="left"/>
        <w:rPr>
          <w:bdr w:val="single" w:sz="8" w:space="1" w:color="000000"/>
        </w:rPr>
      </w:pPr>
      <w:r>
        <w:rPr>
          <w:bdr w:val="single" w:sz="8" w:space="1" w:color="000000"/>
        </w:rPr>
      </w:r>
    </w:p>
    <w:tbl>
      <w:tblPr>
        <w:tblW w:w="7690" w:type="dxa"/>
        <w:jc w:val="left"/>
        <w:tblInd w:w="0" w:type="dxa"/>
        <w:tblLayout w:type="fixed"/>
        <w:tblCellMar>
          <w:top w:w="0" w:type="dxa"/>
          <w:left w:w="0" w:type="dxa"/>
          <w:bottom w:w="0" w:type="dxa"/>
          <w:right w:w="0" w:type="dxa"/>
        </w:tblCellMar>
      </w:tblPr>
      <w:tblGrid>
        <w:gridCol w:w="110"/>
        <w:gridCol w:w="758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75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As of September 30, 2025, Love &amp; Health Limited has not completed its initial public offering with Nasdaq.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April 2, 2025, the Company closed its initial public offering (“IPO”) of 4,375,000 ordinary shares and the sale of an additional 656,250 ordinary shares (the “Over-allotment”), pursuant to the full exercise of the over-allotment option granted to the underwriters in connection with the IPO. The offering price was $4.00 per share. The aggregate gross proceeds of the IPO and Over-allotment were $20,125,000 before deducting underwriting discounts and offering expenses. The ordinary shares of the Company were approved for listing on The Nasdaq Capital Market and commenced trading under the ticker symbol “WTF” on April 1, 2025. </w:t>
      </w:r>
    </w:p>
    <w:p>
      <w:pPr>
        <w:pStyle w:val="TextBody"/>
        <w:bidi w:val="0"/>
        <w:spacing w:before="33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Going concern and liquidity</w:t>
      </w:r>
      <w:r>
        <w:rPr>
          <w:rFonts w:ascii="Times New Roman;Times;serif" w:hAnsi="Times New Roman;Times;serif"/>
          <w:color w:val="000000"/>
          <w:sz w:val="20"/>
          <w:shd w:fill="FFFFFF" w:val="clear"/>
        </w:rPr>
        <w:t xml:space="preserve">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unaudited condensed consolidated financial statements have been prepared assuming that the Company will continue as a going concern, which contemplates continuity of operations, realization of assets, and liquidation of liabilities in the normal course of business.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reported a net loss of $8,366,642 for the six months ended September 30, 2025 and had an accumulated deficit of $17,473,787 as of September 30, 2025. The Company had positive working capital of $23,616,959 and cash and cash equivalents of $14,347,536 as of September 30, 2025. The Company’s unaudited condensed consolidated financial statements do not include any adjustments related to the recoverability and classification of recorded asset amounts or the amounts and classification of liabilities that might be necessary should the Company be unable to continue as a going concern.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F-7</w:t>
      </w:r>
    </w:p>
    <w:p>
      <w:pPr>
        <w:pStyle w:val="HorizontalLine"/>
        <w:bidi w:val="0"/>
        <w:spacing w:before="200" w:after="200"/>
        <w:jc w:val="left"/>
        <w:rPr/>
      </w:pPr>
      <w:r>
        <w:rPr/>
      </w:r>
    </w:p>
    <w:p>
      <w:pPr>
        <w:pStyle w:val="TextBody"/>
        <w:bidi w:val="0"/>
        <w:jc w:val="left"/>
        <w:rPr/>
      </w:pPr>
      <w:hyperlink w:anchor="TOC">
        <w:bookmarkStart w:id="104" w:name="ny20053887x8_posam_202-finnotes_pg2"/>
        <w:bookmarkEnd w:id="10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tbl>
      <w:tblPr>
        <w:tblW w:w="5215" w:type="dxa"/>
        <w:jc w:val="left"/>
        <w:tblInd w:w="0" w:type="dxa"/>
        <w:tblLayout w:type="fixed"/>
        <w:tblCellMar>
          <w:top w:w="0" w:type="dxa"/>
          <w:left w:w="0" w:type="dxa"/>
          <w:bottom w:w="0" w:type="dxa"/>
          <w:right w:w="0" w:type="dxa"/>
        </w:tblCellMar>
      </w:tblPr>
      <w:tblGrid>
        <w:gridCol w:w="170"/>
        <w:gridCol w:w="504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50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SIGNIFICANT ACCOUNTING POLICIES </w:t>
            </w:r>
          </w:p>
        </w:tc>
      </w:tr>
    </w:tbl>
    <w:tbl>
      <w:tblPr>
        <w:tblW w:w="2050" w:type="dxa"/>
        <w:jc w:val="left"/>
        <w:tblInd w:w="0" w:type="dxa"/>
        <w:tblLayout w:type="fixed"/>
        <w:tblCellMar>
          <w:top w:w="0" w:type="dxa"/>
          <w:left w:w="0" w:type="dxa"/>
          <w:bottom w:w="0" w:type="dxa"/>
          <w:right w:w="0" w:type="dxa"/>
        </w:tblCellMar>
      </w:tblPr>
      <w:tblGrid>
        <w:gridCol w:w="245"/>
        <w:gridCol w:w="180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(a)</w:t>
            </w:r>
          </w:p>
        </w:tc>
        <w:tc>
          <w:tcPr>
            <w:tcW w:w="180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Basis of presentation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accompanying unaudited condensed consolidated financial statements (“Unaudited Financial Statements”) have been prepared in accordance with accounting principles generally accepted in the United States of America (“U.S. GAAP”) and pursuant to the rules and regulations of the Securities Exchange Commission (“SEC”). Accordingly, they do not include all of the information and footnotes required by generally accepted accounting principles for complete financial statements. These unaudited condensed consolidated financial statements should be read in conjunction with the audited consolidated financial statements and notes thereto included in the Company’s Annual Report on Form 20-F as of and for the years ended March 31, 2025 and 2024 (“Audited Financial Statements”), as filed on July 24, 2025. In the opinion of management, all normal recurring adjustments necessary for their fair presentation have been included. Operating results for the six months ended September 30, 2025 and 2024 are not necessarily indicative of the results that may be expected for the full year. Other than policies noted below, there have been no significant changes to the significant accounting policies and estimates disclosed in the Audited Financial Statements. </w:t>
      </w:r>
    </w:p>
    <w:tbl>
      <w:tblPr>
        <w:tblW w:w="2545" w:type="dxa"/>
        <w:jc w:val="left"/>
        <w:tblInd w:w="0" w:type="dxa"/>
        <w:tblLayout w:type="fixed"/>
        <w:tblCellMar>
          <w:top w:w="0" w:type="dxa"/>
          <w:left w:w="0" w:type="dxa"/>
          <w:bottom w:w="0" w:type="dxa"/>
          <w:right w:w="0" w:type="dxa"/>
        </w:tblCellMar>
      </w:tblPr>
      <w:tblGrid>
        <w:gridCol w:w="245"/>
        <w:gridCol w:w="230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(b)</w:t>
            </w:r>
          </w:p>
        </w:tc>
        <w:tc>
          <w:tcPr>
            <w:tcW w:w="23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Principles of consolidation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Unaudited Financial Statements include the accounts of the Company and its wholly owned subsidiaries. All significant intercompany balances and transactions have been eliminated in the consolidation. </w:t>
      </w:r>
    </w:p>
    <w:tbl>
      <w:tblPr>
        <w:tblW w:w="1615" w:type="dxa"/>
        <w:jc w:val="left"/>
        <w:tblInd w:w="0" w:type="dxa"/>
        <w:tblLayout w:type="fixed"/>
        <w:tblCellMar>
          <w:top w:w="0" w:type="dxa"/>
          <w:left w:w="0" w:type="dxa"/>
          <w:bottom w:w="0" w:type="dxa"/>
          <w:right w:w="0" w:type="dxa"/>
        </w:tblCellMar>
      </w:tblPr>
      <w:tblGrid>
        <w:gridCol w:w="230"/>
        <w:gridCol w:w="1385"/>
      </w:tblGrid>
      <w:tr>
        <w:trPr/>
        <w:tc>
          <w:tcPr>
            <w:tcW w:w="23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(c)</w:t>
            </w:r>
          </w:p>
        </w:tc>
        <w:tc>
          <w:tcPr>
            <w:tcW w:w="138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Use of estimates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preparation of the Unaudited Financial Statements in accordance with U.S. GAAP requires management to make estimates and assumptions that affect the reported amounts of assets and liabilities at the date of the unaudited condensed consolidated financial statements and reported amounts of revenues and expenses during the reporting periods. These estimates are based on information available as of the date of the Unaudited Financial Statements. Accounting estimates required to be made by management include, but not limited to, recognition of software licensing and related support services income, allowance for credit losses, valuation of share-based compensation, income taxes and valuation for investments. Actual results could differ from those estimates. </w:t>
      </w:r>
    </w:p>
    <w:tbl>
      <w:tblPr>
        <w:tblW w:w="3670" w:type="dxa"/>
        <w:jc w:val="left"/>
        <w:tblInd w:w="0" w:type="dxa"/>
        <w:tblLayout w:type="fixed"/>
        <w:tblCellMar>
          <w:top w:w="0" w:type="dxa"/>
          <w:left w:w="0" w:type="dxa"/>
          <w:bottom w:w="0" w:type="dxa"/>
          <w:right w:w="0" w:type="dxa"/>
        </w:tblCellMar>
      </w:tblPr>
      <w:tblGrid>
        <w:gridCol w:w="245"/>
        <w:gridCol w:w="342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(d)</w:t>
            </w:r>
          </w:p>
        </w:tc>
        <w:tc>
          <w:tcPr>
            <w:tcW w:w="34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Receivables from and payables to clients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Receivables from and payables to clients include amounts due and owed on cash and margin transactions on a trade-date basis. Receivables from clients include margin loans to securities brokerage clients and other trading receivables. WSI engages in margin financing transactions with its clients. Margin loans generated from margin lending activity for securities traded in the secondary market are collateralized by client-owned securities held in client’s accounts. WSI monitors the required margin and collateral level on a daily basis in compliance with regulatory and internal guidelines. Under applicable agreements, clients are required to deposit additional collateral or reduce holding positions, when necessary to avoid forced liquidation of their positions.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Group elected the practical expedient for Financial Accounting Standard Board (“FASB”) Accounting Standard Codification (“ASC”) Topic 326 – “Financial Instruments – Credit Losses” (“ASC 326”) which permits it to compare the amortized cost basis of the loaned amount with the fair value of collateral received at the reporting date to measure the estimate of expected credit losses. Securities beneficially owned by clients, including those that collateralize margin or other similar transactions, are not reflected on the unaudited condensed consolidated balance sheets. </w:t>
      </w:r>
    </w:p>
    <w:p>
      <w:pPr>
        <w:pStyle w:val="TextBody"/>
        <w:bidi w:val="0"/>
        <w:spacing w:before="16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September 30, 2025 and March 31, 2025, the Group had no credit losses reserve to its receivables from clients. </w:t>
      </w:r>
    </w:p>
    <w:tbl>
      <w:tblPr>
        <w:tblW w:w="6535" w:type="dxa"/>
        <w:jc w:val="left"/>
        <w:tblInd w:w="0" w:type="dxa"/>
        <w:tblLayout w:type="fixed"/>
        <w:tblCellMar>
          <w:top w:w="0" w:type="dxa"/>
          <w:left w:w="0" w:type="dxa"/>
          <w:bottom w:w="0" w:type="dxa"/>
          <w:right w:w="0" w:type="dxa"/>
        </w:tblCellMar>
      </w:tblPr>
      <w:tblGrid>
        <w:gridCol w:w="230"/>
        <w:gridCol w:w="6305"/>
      </w:tblGrid>
      <w:tr>
        <w:trPr/>
        <w:tc>
          <w:tcPr>
            <w:tcW w:w="23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(e)</w:t>
            </w:r>
          </w:p>
        </w:tc>
        <w:tc>
          <w:tcPr>
            <w:tcW w:w="630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Receivables from and payables to broker-dealers and clearing organization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Receivables from and payables to clearing organization include receivables and payables from unsettled trades on a trade-date basis, including amounts receivable for securities trades not delivered by WSI to the purchaser by the settlement date and amounts payable for securities not received by WSI from a seller by the settlement date.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F-8</w:t>
      </w:r>
    </w:p>
    <w:p>
      <w:pPr>
        <w:pStyle w:val="HorizontalLine"/>
        <w:bidi w:val="0"/>
        <w:spacing w:before="200" w:after="200"/>
        <w:jc w:val="left"/>
        <w:rPr/>
      </w:pPr>
      <w:r>
        <w:rPr/>
      </w:r>
    </w:p>
    <w:p>
      <w:pPr>
        <w:pStyle w:val="TextBody"/>
        <w:bidi w:val="0"/>
        <w:jc w:val="left"/>
        <w:rPr/>
      </w:pPr>
      <w:hyperlink w:anchor="TOC">
        <w:bookmarkStart w:id="105" w:name="ny20053887x8_posam_202-finnotes_pg3"/>
        <w:bookmarkEnd w:id="10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p>
      <w:pPr>
        <w:pStyle w:val="TextBody"/>
        <w:bidi w:val="0"/>
        <w:spacing w:before="16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September 30, 2025 and March 31, 2025, the Group had no credit losses reserve to its receivables from broker-dealers and clearing organization.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Payables to broker-dealers represent margin loan that WSI borrowed from broker-dealers by repledging or sell-and-repurchase the securities that pledged by its margin clients. </w:t>
      </w:r>
    </w:p>
    <w:tbl>
      <w:tblPr>
        <w:tblW w:w="8140" w:type="dxa"/>
        <w:jc w:val="left"/>
        <w:tblInd w:w="0" w:type="dxa"/>
        <w:tblLayout w:type="fixed"/>
        <w:tblCellMar>
          <w:top w:w="0" w:type="dxa"/>
          <w:left w:w="0" w:type="dxa"/>
          <w:bottom w:w="0" w:type="dxa"/>
          <w:right w:w="0" w:type="dxa"/>
        </w:tblCellMar>
      </w:tblPr>
      <w:tblGrid>
        <w:gridCol w:w="200"/>
        <w:gridCol w:w="794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(f)</w:t>
            </w:r>
          </w:p>
        </w:tc>
        <w:tc>
          <w:tcPr>
            <w:tcW w:w="794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Receivables from software licensing (including subscription based) and related support services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Receivables from software licensing (including subscription based) and related support services primarily consist of amounts due for services already performed and are recorded at the invoiced amount and do not bear interest. The Group maintains an allowance for estimated credit losses inherent in its accounts receivable portfolio. In establishing the expected credit loss, management considers historical losses adjusted to take into account current and future market conditions and the customers’ financial condition, the amount of receivables in dispute and customer paying patterns. Balances that remain outstanding after the Group has used reasonable collection efforts are written off through a charge to the valuation allowance and a credit to accounts receivable. As of September 30, 2025 and March 31, 2025, the receivables from software licensing (including subscription based) and related support services were fully collateralized by the client-owned securities held in the customer’s account. There were no allowance was recognized on the receivables from software licensing (including subscription based) and related support services during the periods presented in the accompanying Unaudited Financial Statements. </w:t>
      </w:r>
    </w:p>
    <w:tbl>
      <w:tblPr>
        <w:tblW w:w="2185" w:type="dxa"/>
        <w:jc w:val="left"/>
        <w:tblInd w:w="0" w:type="dxa"/>
        <w:tblLayout w:type="fixed"/>
        <w:tblCellMar>
          <w:top w:w="0" w:type="dxa"/>
          <w:left w:w="0" w:type="dxa"/>
          <w:bottom w:w="0" w:type="dxa"/>
          <w:right w:w="0" w:type="dxa"/>
        </w:tblCellMar>
      </w:tblPr>
      <w:tblGrid>
        <w:gridCol w:w="245"/>
        <w:gridCol w:w="194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(g)</w:t>
            </w:r>
          </w:p>
        </w:tc>
        <w:tc>
          <w:tcPr>
            <w:tcW w:w="194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Deferred offering costs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Deferred offering costs are incurred in connection with the public offerings of the Company, and initial public offerings (“IPOs”), of the Company’s subsidiary, Love and Health Limited, a SPAC entity, including legal, underwriting, and other public offering related costs. Upon completion of the public offering, these deferred offering costs will be reclassified to shareholders’ equity. If the Company terminates its planned public offering or if there is a significant delay, all of the deferred offering costs will be immediately written off to expenses in the unaudited condensed consolidated statements of operations. Deferred offering costs were $0.44 million and $1.50 million as of September 30, 2025 and March 31, 2025, respectively, and were recorded in other assets. For the six months ended September 30, 2025, the Company’s deferred offering cost of $1.1 million has been charged against equity upon completion of its IPO on April 2, 2025. </w:t>
      </w:r>
    </w:p>
    <w:tbl>
      <w:tblPr>
        <w:tblW w:w="2755" w:type="dxa"/>
        <w:jc w:val="left"/>
        <w:tblInd w:w="0" w:type="dxa"/>
        <w:tblLayout w:type="fixed"/>
        <w:tblCellMar>
          <w:top w:w="0" w:type="dxa"/>
          <w:left w:w="0" w:type="dxa"/>
          <w:bottom w:w="0" w:type="dxa"/>
          <w:right w:w="0" w:type="dxa"/>
        </w:tblCellMar>
      </w:tblPr>
      <w:tblGrid>
        <w:gridCol w:w="245"/>
        <w:gridCol w:w="251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(h)</w:t>
            </w:r>
          </w:p>
        </w:tc>
        <w:tc>
          <w:tcPr>
            <w:tcW w:w="251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Investment in equity securities</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accounts for investments in equity securities in accordance with ASC 321, Investments – Equity Securities. For investment in an equity security in which the Company does not have a controlling financial interest, the Company determines if it has the ability to exercise significant influence over the entity. Equity investment over which the Company does not have the ability to exercise significant influence and that does not have a readily determinable fair value that qualifies for the net asset value (“NAV”) practical expedient. The Company has elected to apply the NAV practical expedient to estimate fair value, with changes in NAV recognized in the accompanying in the unaudited condensed consolidated statements of operations.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all other investments in equity securities over which the Company does not have the ability to exercise significant influence and without a readily determinable fair value, the Company applies alternative measurements on these equity securities which are defined as cost, less any impairments, a plus or minus changes resulting from observable price changes in orderly transactions for identical or similar investments of the same issuer, if any. The Company monitors the investment for impairments and makes adjustments in carrying values if management determines that an impairment charge is required based primarily on the financial condition and near-term prospects of the investment. The Company evaluates potential impairment indicators, including adverse changes in industry or market conditions, financial performance, business outlook, and other relevant factors. If such indicators are present, further analysis is conducted to determine whether any impairment is other-than-temporary. In cases where an impairment is deemed other-than-temporary, the Company determines the fair value of the investment. When quoted market prices are not available, the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F-9</w:t>
      </w:r>
    </w:p>
    <w:p>
      <w:pPr>
        <w:pStyle w:val="HorizontalLine"/>
        <w:bidi w:val="0"/>
        <w:spacing w:before="200" w:after="200"/>
        <w:jc w:val="left"/>
        <w:rPr/>
      </w:pPr>
      <w:r>
        <w:rPr/>
      </w:r>
    </w:p>
    <w:p>
      <w:pPr>
        <w:pStyle w:val="TextBody"/>
        <w:bidi w:val="0"/>
        <w:jc w:val="left"/>
        <w:rPr/>
      </w:pPr>
      <w:hyperlink w:anchor="TOC">
        <w:bookmarkStart w:id="106" w:name="ny20053887x8_posam_202-finnotes_pg4"/>
        <w:bookmarkEnd w:id="10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p>
      <w:pPr>
        <w:pStyle w:val="TextBody"/>
        <w:bidi w:val="0"/>
        <w:spacing w:before="16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Company exercises judgment in estimating fair value, taking into account factors such as current economic and market conditions, the investee’s operating performance and earnings trends, and other company- and industry-specific information. </w:t>
      </w:r>
    </w:p>
    <w:tbl>
      <w:tblPr>
        <w:tblW w:w="2485" w:type="dxa"/>
        <w:jc w:val="left"/>
        <w:tblInd w:w="0" w:type="dxa"/>
        <w:tblLayout w:type="fixed"/>
        <w:tblCellMar>
          <w:top w:w="0" w:type="dxa"/>
          <w:left w:w="0" w:type="dxa"/>
          <w:bottom w:w="0" w:type="dxa"/>
          <w:right w:w="0" w:type="dxa"/>
        </w:tblCellMar>
      </w:tblPr>
      <w:tblGrid>
        <w:gridCol w:w="200"/>
        <w:gridCol w:w="228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(i)</w:t>
            </w:r>
          </w:p>
        </w:tc>
        <w:tc>
          <w:tcPr>
            <w:tcW w:w="228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method investments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Group accounts for an equity method investment over which it has significant influence but does not have a controlling financial interest and of which it is not the primary beneficiary. The Group’s share of the investee’s profit and loss is recognized in the unaudited condensed consolidated statements of operations. During the six months ended September 30, 2025 and 2024, the share of investee losses recognized was $0.03 million and $0.34 million, respectively.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Group assesses its equity method investments for other-than-temporary impairment by considering factors as well as all relevant and available information including, but not limited to, current economic and market conditions, the operating performance of the companies including current earnings trends, and other entity-specific information.</w:t>
      </w:r>
    </w:p>
    <w:tbl>
      <w:tblPr>
        <w:tblW w:w="2275" w:type="dxa"/>
        <w:jc w:val="left"/>
        <w:tblInd w:w="0" w:type="dxa"/>
        <w:tblLayout w:type="fixed"/>
        <w:tblCellMar>
          <w:top w:w="0" w:type="dxa"/>
          <w:left w:w="0" w:type="dxa"/>
          <w:bottom w:w="0" w:type="dxa"/>
          <w:right w:w="0" w:type="dxa"/>
        </w:tblCellMar>
      </w:tblPr>
      <w:tblGrid>
        <w:gridCol w:w="200"/>
        <w:gridCol w:w="2075"/>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(j)</w:t>
            </w:r>
          </w:p>
        </w:tc>
        <w:tc>
          <w:tcPr>
            <w:tcW w:w="207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Fair value measurement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Group performs fair value measurements in accordance with ASC 820, Fair Value Measurements and Disclosures. ASC 820 defines fair value as the price that would be received from selling an asset or paid to transfer a liability in an orderly transaction between market participants at the measurement date.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ASC 820 establishes a three-tier fair value hierarchy, which prioritizes the inputs used in measuring fair value as follows: </w:t>
      </w:r>
    </w:p>
    <w:tbl>
      <w:tblPr>
        <w:tblW w:w="8515" w:type="dxa"/>
        <w:jc w:val="left"/>
        <w:tblInd w:w="0" w:type="dxa"/>
        <w:tblLayout w:type="fixed"/>
        <w:tblCellMar>
          <w:top w:w="0" w:type="dxa"/>
          <w:left w:w="0" w:type="dxa"/>
          <w:bottom w:w="0" w:type="dxa"/>
          <w:right w:w="0" w:type="dxa"/>
        </w:tblCellMar>
      </w:tblPr>
      <w:tblGrid>
        <w:gridCol w:w="110"/>
        <w:gridCol w:w="8405"/>
      </w:tblGrid>
      <w:tr>
        <w:trPr/>
        <w:tc>
          <w:tcPr>
            <w:tcW w:w="110" w:type="dxa"/>
            <w:tcBorders/>
            <w:vAlign w:val="center"/>
          </w:tcPr>
          <w:p>
            <w:pPr>
              <w:pStyle w:val="TableContents"/>
              <w:bidi w:val="0"/>
              <w:spacing w:before="0" w:after="0"/>
              <w:jc w:val="left"/>
              <w:rPr>
                <w:color w:val="000000"/>
              </w:rPr>
            </w:pPr>
            <w:r>
              <w:rPr>
                <w:color w:val="000000"/>
              </w:rPr>
              <w:t>•</w:t>
            </w:r>
          </w:p>
        </w:tc>
        <w:tc>
          <w:tcPr>
            <w:tcW w:w="8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Level 1 - Observable inputs that reflect quoted prices for identical assets or liabilities in active markets. </w:t>
            </w:r>
          </w:p>
        </w:tc>
      </w:tr>
    </w:tbl>
    <w:tbl>
      <w:tblPr>
        <w:tblW w:w="6880" w:type="dxa"/>
        <w:jc w:val="left"/>
        <w:tblInd w:w="0" w:type="dxa"/>
        <w:tblLayout w:type="fixed"/>
        <w:tblCellMar>
          <w:top w:w="0" w:type="dxa"/>
          <w:left w:w="0" w:type="dxa"/>
          <w:bottom w:w="0" w:type="dxa"/>
          <w:right w:w="0" w:type="dxa"/>
        </w:tblCellMar>
      </w:tblPr>
      <w:tblGrid>
        <w:gridCol w:w="110"/>
        <w:gridCol w:w="6770"/>
      </w:tblGrid>
      <w:tr>
        <w:trPr/>
        <w:tc>
          <w:tcPr>
            <w:tcW w:w="110" w:type="dxa"/>
            <w:tcBorders/>
            <w:vAlign w:val="center"/>
          </w:tcPr>
          <w:p>
            <w:pPr>
              <w:pStyle w:val="TableContents"/>
              <w:bidi w:val="0"/>
              <w:spacing w:before="0" w:after="0"/>
              <w:jc w:val="left"/>
              <w:rPr>
                <w:color w:val="000000"/>
              </w:rPr>
            </w:pPr>
            <w:r>
              <w:rPr>
                <w:color w:val="000000"/>
              </w:rPr>
              <w:t>•</w:t>
            </w:r>
          </w:p>
        </w:tc>
        <w:tc>
          <w:tcPr>
            <w:tcW w:w="6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Level 2 - Inputs other than Level 1 that are observable, either directly or indirectly.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Level 3 - Unobservable inputs which are supported by little or no market activity and that are significant to the fair value of the assets or liabilities.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September 30, 2025 and March 31, 2025, the carrying values of cash and cash equivalents, cash segregated under regulatory requirements, receivables from clients, receivables from broker-dealers and clearing organization, receivables from software licensing and related support services, prepaid expenses and other current assets, payables to clients, payables to broker dealers and clearing organization, accrued expenses and other current liabilities approximated their fair values reported in the unaudited condensed consolidated balance sheets due to the short-term maturities of these financial instruments. The Company applies the practical expedient provided by the ASC Topic 820 relating to investments in certain entities that calculate net asset value per share (or its equivalent). ASC Topic 820 permits an entity holding investments in certain entities that either are investment companies, or have attributes similar to an investment company, and calculate NAV per share or its equivalent for which the fair value is not readily determinable, to measure the fair value of such investments on the basis of that NAV per share, or its equivalent, without adjustment. Investments which are valued using NAV per share as a practical expedient are not categorized within the fair value hierarchy as per ASC Topic 820.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F-10</w:t>
      </w:r>
    </w:p>
    <w:p>
      <w:pPr>
        <w:pStyle w:val="HorizontalLine"/>
        <w:bidi w:val="0"/>
        <w:spacing w:before="200" w:after="200"/>
        <w:jc w:val="left"/>
        <w:rPr/>
      </w:pPr>
      <w:r>
        <w:rPr/>
      </w:r>
    </w:p>
    <w:p>
      <w:pPr>
        <w:pStyle w:val="TextBody"/>
        <w:bidi w:val="0"/>
        <w:jc w:val="left"/>
        <w:rPr/>
      </w:pPr>
      <w:hyperlink w:anchor="TOC">
        <w:bookmarkStart w:id="107" w:name="ny20053887x8_posam_202-finnotes_pg5"/>
        <w:bookmarkEnd w:id="10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p>
      <w:pPr>
        <w:pStyle w:val="TextBody"/>
        <w:bidi w:val="0"/>
        <w:spacing w:before="0" w:after="0"/>
        <w:jc w:val="left"/>
        <w:rPr/>
      </w:pPr>
      <w:r>
        <w:rPr/>
      </w:r>
    </w:p>
    <w:tbl>
      <w:tblPr>
        <w:tblW w:w="2770" w:type="dxa"/>
        <w:jc w:val="left"/>
        <w:tblInd w:w="0" w:type="dxa"/>
        <w:tblLayout w:type="fixed"/>
        <w:tblCellMar>
          <w:top w:w="0" w:type="dxa"/>
          <w:left w:w="0" w:type="dxa"/>
          <w:bottom w:w="0" w:type="dxa"/>
          <w:right w:w="0" w:type="dxa"/>
        </w:tblCellMar>
      </w:tblPr>
      <w:tblGrid>
        <w:gridCol w:w="245"/>
        <w:gridCol w:w="2525"/>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(k)</w:t>
            </w:r>
          </w:p>
        </w:tc>
        <w:tc>
          <w:tcPr>
            <w:tcW w:w="252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Contract assets and liabilities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Group records a contract asset when revenue is recognized prior to invoicing. The Group’s contract liabilities primarily relate to unsatisfied performance obligations when payment has been received from customers before the performance obligations are satisfied. The following table summarized the opening and closing balances in contract assets and liabilities: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7837"/>
        <w:gridCol w:w="140"/>
        <w:gridCol w:w="140"/>
        <w:gridCol w:w="981"/>
        <w:gridCol w:w="140"/>
        <w:gridCol w:w="140"/>
        <w:gridCol w:w="827"/>
      </w:tblGrid>
      <w:tr>
        <w:trPr/>
        <w:tc>
          <w:tcPr>
            <w:tcW w:w="78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0"/>
              <w:jc w:val="left"/>
              <w:rPr/>
            </w:pPr>
            <w:r>
              <w:rPr/>
              <w:t> </w:t>
            </w:r>
          </w:p>
        </w:tc>
      </w:tr>
      <w:tr>
        <w:trPr/>
        <w:tc>
          <w:tcPr>
            <w:tcW w:w="78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Contract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Contract </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liabilities</w:t>
            </w:r>
            <w:r>
              <w:rPr>
                <w:rFonts w:ascii="Times New Roman;Times;serif" w:hAnsi="Times New Roman;Times;serif"/>
                <w:color w:val="000000"/>
                <w:position w:val="5"/>
                <w:sz w:val="13"/>
                <w:sz w:val="16"/>
              </w:rPr>
              <w:t>*</w:t>
            </w:r>
            <w:r>
              <w:rPr>
                <w:rFonts w:ascii="Times New Roman;Times;serif" w:hAnsi="Times New Roman;Times;serif"/>
                <w:color w:val="000000"/>
                <w:sz w:val="16"/>
              </w:rPr>
              <w:t xml:space="preserve"> </w:t>
            </w:r>
          </w:p>
        </w:tc>
      </w:tr>
      <w:tr>
        <w:trPr/>
        <w:tc>
          <w:tcPr>
            <w:tcW w:w="78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as of April 1, 2024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600,000</w:t>
            </w:r>
          </w:p>
        </w:tc>
      </w:tr>
      <w:tr>
        <w:trPr/>
        <w:tc>
          <w:tcPr>
            <w:tcW w:w="78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change to contract balance recognized since beginning of period due to recognition of revenue and amounts billed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1,200,000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(476,863)</w:t>
            </w:r>
          </w:p>
        </w:tc>
      </w:tr>
      <w:tr>
        <w:trPr/>
        <w:tc>
          <w:tcPr>
            <w:tcW w:w="78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as of March 31,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1,200,000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123,137</w:t>
            </w:r>
          </w:p>
        </w:tc>
      </w:tr>
      <w:tr>
        <w:trPr/>
        <w:tc>
          <w:tcPr>
            <w:tcW w:w="7837"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Net change to contract balance recognized since beginning of the period due to recognition of revenue and amounts billed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81" w:type="dxa"/>
            <w:tcBorders/>
            <w:vAlign w:val="center"/>
          </w:tcPr>
          <w:p>
            <w:pPr>
              <w:pStyle w:val="TableContents"/>
              <w:bidi w:val="0"/>
              <w:spacing w:before="0" w:after="283"/>
              <w:ind w:left="3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(569,155)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7"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r>
      <w:tr>
        <w:trPr/>
        <w:tc>
          <w:tcPr>
            <w:tcW w:w="78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Balance as of September 30,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$630,845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$123,137</w:t>
            </w:r>
          </w:p>
        </w:tc>
      </w:tr>
      <w:tr>
        <w:trPr/>
        <w:tc>
          <w:tcPr>
            <w:tcW w:w="783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7" w:type="dxa"/>
            <w:tcBorders/>
            <w:shd w:fill="CCEEFF" w:val="clear"/>
            <w:vAlign w:val="center"/>
          </w:tcPr>
          <w:p>
            <w:pPr>
              <w:pStyle w:val="TableContents"/>
              <w:bidi w:val="0"/>
              <w:spacing w:before="0" w:after="0"/>
              <w:jc w:val="left"/>
              <w:rPr/>
            </w:pPr>
            <w:r>
              <w:rPr/>
              <w:t> </w:t>
            </w:r>
          </w:p>
        </w:tc>
      </w:tr>
    </w:tbl>
    <w:p>
      <w:pPr>
        <w:pStyle w:val="TextBody"/>
        <w:bidi w:val="0"/>
        <w:spacing w:before="265" w:after="20"/>
        <w:ind w:left="400" w:right="0" w:hanging="0"/>
        <w:jc w:val="left"/>
        <w:rPr>
          <w:bdr w:val="single" w:sz="8" w:space="1" w:color="000000"/>
        </w:rPr>
      </w:pPr>
      <w:r>
        <w:rPr>
          <w:bdr w:val="single" w:sz="8" w:space="1" w:color="000000"/>
        </w:rPr>
      </w:r>
    </w:p>
    <w:tbl>
      <w:tblPr>
        <w:tblW w:w="6370" w:type="dxa"/>
        <w:jc w:val="left"/>
        <w:tblInd w:w="0" w:type="dxa"/>
        <w:tblLayout w:type="fixed"/>
        <w:tblCellMar>
          <w:top w:w="0" w:type="dxa"/>
          <w:left w:w="0" w:type="dxa"/>
          <w:bottom w:w="0" w:type="dxa"/>
          <w:right w:w="0" w:type="dxa"/>
        </w:tblCellMar>
      </w:tblPr>
      <w:tblGrid>
        <w:gridCol w:w="110"/>
        <w:gridCol w:w="626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Contract liabilities were included within the accrued expenses and other current liabilities. </w:t>
            </w:r>
          </w:p>
        </w:tc>
      </w:tr>
    </w:tbl>
    <w:p>
      <w:pPr>
        <w:pStyle w:val="TextBody"/>
        <w:bidi w:val="0"/>
        <w:spacing w:before="15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No expected credit loss recognized for the six months ended September 30, 2025 and 2024 for contract assets. </w:t>
      </w:r>
    </w:p>
    <w:tbl>
      <w:tblPr>
        <w:tblW w:w="2710" w:type="dxa"/>
        <w:jc w:val="left"/>
        <w:tblInd w:w="0" w:type="dxa"/>
        <w:tblLayout w:type="fixed"/>
        <w:tblCellMar>
          <w:top w:w="0" w:type="dxa"/>
          <w:left w:w="0" w:type="dxa"/>
          <w:bottom w:w="0" w:type="dxa"/>
          <w:right w:w="0" w:type="dxa"/>
        </w:tblCellMar>
      </w:tblPr>
      <w:tblGrid>
        <w:gridCol w:w="200"/>
        <w:gridCol w:w="2510"/>
      </w:tblGrid>
      <w:tr>
        <w:trPr/>
        <w:tc>
          <w:tcPr>
            <w:tcW w:w="2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(l)</w:t>
            </w:r>
          </w:p>
        </w:tc>
        <w:tc>
          <w:tcPr>
            <w:tcW w:w="251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Concentration and credit risk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Financial instruments that potentially subject the Group to concentration of credit risk consist of cash accounts held with financial institutions in Hong Kong. Cash segregated under regulatory requirements is deposited in reputable financial institutions as required by the Hong Kong Securities and Futures Ordinance. At times, these accounts may exceed the maximum coverage limit of approximatively $102,000 (HK$800,000), effective from October 1, 2024, under the Deposit Protection Scheme introduced by the Hong Kong Government.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Group has not experienced any losses in these accounts and management believes that these financial institutions are of sound credit quality and the Group is not exposed to any significant credit risk on these accounts.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Group’s exposure to credit risk associated with its trading and other activities is measured on an individual counterparty basis, as well as by Group of counterparties that share similar attributes. </w:t>
      </w:r>
    </w:p>
    <w:p>
      <w:pPr>
        <w:pStyle w:val="TextBody"/>
        <w:bidi w:val="0"/>
        <w:spacing w:before="16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Group is exposed to concentration risks with specific counterparties. </w:t>
      </w:r>
    </w:p>
    <w:tbl>
      <w:tblPr>
        <w:tblW w:w="1615" w:type="dxa"/>
        <w:jc w:val="left"/>
        <w:tblInd w:w="0" w:type="dxa"/>
        <w:tblLayout w:type="fixed"/>
        <w:tblCellMar>
          <w:top w:w="0" w:type="dxa"/>
          <w:left w:w="0" w:type="dxa"/>
          <w:bottom w:w="0" w:type="dxa"/>
          <w:right w:w="0" w:type="dxa"/>
        </w:tblCellMar>
      </w:tblPr>
      <w:tblGrid>
        <w:gridCol w:w="200"/>
        <w:gridCol w:w="141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Major customers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the six months ended September 30, 2025 and 2024, customer A, a related party, accounted for 36.6% and 68.0% of the Group’s total revenues, respectively. As of September 30, 2025, customer A accounted for 5.8% of the total balance of receivables, including balances from client, broker-dealers and clearing organizations and software licensing and related support service. As of March 31, 2025, customer A accounted for 61.0% of the total balance of receivables. For the six months ended September 30, 2025 and 2024, customer B, accounted for 14.6% and nil of the Group’s total revenues, respectively. As of September 30, 2025, customer B accounted for 38.6% of the total balance of receivables, including balances from client, broker-dealers and clearing organizations and software licensing and related support service. As of March 31, 2025, customer B accounted for nil of the total balance of receivables. </w:t>
      </w:r>
    </w:p>
    <w:tbl>
      <w:tblPr>
        <w:tblW w:w="1525" w:type="dxa"/>
        <w:jc w:val="left"/>
        <w:tblInd w:w="0" w:type="dxa"/>
        <w:tblLayout w:type="fixed"/>
        <w:tblCellMar>
          <w:top w:w="0" w:type="dxa"/>
          <w:left w:w="0" w:type="dxa"/>
          <w:bottom w:w="0" w:type="dxa"/>
          <w:right w:w="0" w:type="dxa"/>
        </w:tblCellMar>
      </w:tblPr>
      <w:tblGrid>
        <w:gridCol w:w="260"/>
        <w:gridCol w:w="126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1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Major supplier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There was one sole related party supplier for software licensing and related support outsourcing services, who accounted for 5.4% and 13.3% of total operating costs and expenses for the six months ended September 30, 2025 and 2024, respectively. As of September 30, 2025 and March 31, 2025, supplier A, a related party, accounted for 6.5% and 5.4% of the total balance of accounts payable, respectively. Supplier A ceased to be a related party in the fourth quarter in 2025.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F-11</w:t>
      </w:r>
    </w:p>
    <w:p>
      <w:pPr>
        <w:pStyle w:val="HorizontalLine"/>
        <w:bidi w:val="0"/>
        <w:spacing w:before="200" w:after="200"/>
        <w:jc w:val="left"/>
        <w:rPr/>
      </w:pPr>
      <w:r>
        <w:rPr/>
      </w:r>
    </w:p>
    <w:p>
      <w:pPr>
        <w:pStyle w:val="TextBody"/>
        <w:bidi w:val="0"/>
        <w:jc w:val="left"/>
        <w:rPr/>
      </w:pPr>
      <w:hyperlink w:anchor="TOC">
        <w:bookmarkStart w:id="108" w:name="ny20053887x8_posam_202-finnotes_pg6"/>
        <w:bookmarkEnd w:id="10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p>
      <w:pPr>
        <w:pStyle w:val="TextBody"/>
        <w:bidi w:val="0"/>
        <w:spacing w:before="0" w:after="0"/>
        <w:jc w:val="left"/>
        <w:rPr/>
      </w:pPr>
      <w:r>
        <w:rPr/>
      </w:r>
    </w:p>
    <w:tbl>
      <w:tblPr>
        <w:tblW w:w="2290" w:type="dxa"/>
        <w:jc w:val="left"/>
        <w:tblInd w:w="0" w:type="dxa"/>
        <w:tblLayout w:type="fixed"/>
        <w:tblCellMar>
          <w:top w:w="0" w:type="dxa"/>
          <w:left w:w="0" w:type="dxa"/>
          <w:bottom w:w="0" w:type="dxa"/>
          <w:right w:w="0" w:type="dxa"/>
        </w:tblCellMar>
      </w:tblPr>
      <w:tblGrid>
        <w:gridCol w:w="290"/>
        <w:gridCol w:w="2000"/>
      </w:tblGrid>
      <w:tr>
        <w:trPr/>
        <w:tc>
          <w:tcPr>
            <w:tcW w:w="29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(m)</w:t>
            </w:r>
          </w:p>
        </w:tc>
        <w:tc>
          <w:tcPr>
            <w:tcW w:w="200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Risks and uncertainties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Group’s business, financial condition and results of operations may also be negatively impacted by risks related to regional wars, geopolitical tensions, natural disasters, extreme weather conditions, health epidemics and other catastrophic incidents, which could potentially and significantly disrupt the Group’s operations. </w:t>
      </w:r>
    </w:p>
    <w:tbl>
      <w:tblPr>
        <w:tblW w:w="3265" w:type="dxa"/>
        <w:jc w:val="left"/>
        <w:tblInd w:w="0" w:type="dxa"/>
        <w:tblLayout w:type="fixed"/>
        <w:tblCellMar>
          <w:top w:w="0" w:type="dxa"/>
          <w:left w:w="0" w:type="dxa"/>
          <w:bottom w:w="0" w:type="dxa"/>
          <w:right w:w="0" w:type="dxa"/>
        </w:tblCellMar>
      </w:tblPr>
      <w:tblGrid>
        <w:gridCol w:w="245"/>
        <w:gridCol w:w="3020"/>
      </w:tblGrid>
      <w:tr>
        <w:trPr/>
        <w:tc>
          <w:tcPr>
            <w:tcW w:w="245"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(n)</w:t>
            </w:r>
          </w:p>
        </w:tc>
        <w:tc>
          <w:tcPr>
            <w:tcW w:w="3020" w:type="dxa"/>
            <w:tcBorders/>
            <w:vAlign w:val="center"/>
          </w:tcPr>
          <w:p>
            <w:pPr>
              <w:pStyle w:val="TableContents"/>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accounting pronouncements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are an “emerging growth company” as defined in the JOBS Act. Under the JOBS Act, an emerging growth company can delay adopting new or revised accounting standards issued subsequent to the enactment of the JOBS Act until such time as those standards apply to private companies. </w:t>
      </w:r>
    </w:p>
    <w:p>
      <w:pPr>
        <w:pStyle w:val="TextBody"/>
        <w:bidi w:val="0"/>
        <w:spacing w:before="16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Recently issued accounting pronouncements not yet adopted -</w:t>
      </w:r>
      <w:r>
        <w:rPr>
          <w:rFonts w:ascii="Times New Roman;Times;serif" w:hAnsi="Times New Roman;Times;serif"/>
          <w:color w:val="000000"/>
          <w:sz w:val="20"/>
          <w:shd w:fill="FFFFFF" w:val="clear"/>
        </w:rPr>
        <w:t xml:space="preserve">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December 2023, the FASB issued ASU No. 2023-09, Income Taxes (Topic 740) Improvements to Income Tax Disclosures, which requires public entities to disclose specific categories in the rate reconciliation and provide additional information for reconciling items that meet a quantitative threshold on an annual basis. The new guidance will become effective for the Company’s financial statements issued for annual reporting periods beginning on January 1, 2026. The Company will be required to adopt this guidance on a prospective basis with an option to apply it retrospectively for each period presented. Early adoption of the standard is also permitted. The Company is in the process of evaluating the impact of the financial statement disclosure requirement.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November 2024, the FASB issued ASU No. 2024-03, “Disaggregation of Income Statement Expenses (Subtopic 220-40): Disaggregation of Income Statement Expenses”, which is intended to provide disaggregated information about a public business entity’s expenses to help financial statement users better understand the entity’s performance, better assess the entity’s prospects for future cash flows, and compare an entity’s performance over time and with that of other entities. The amendment is effective for fiscal years beginning after December 15, 2026 and interim periods within fiscal years beginning after December 15, 2027. Early adoption is permitted. The new standard may be applied either on a prospective or retrospective basis. The Company is currently evaluating the effect of adopting this guidance.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July 2025, the FASB issued ASU No. 2025-05, Financial Instruments — Credit Losses (Topic 326): Measurement of Credit Losses for Accounts Receivable and Contract Assets. The amendment provides all entities with a practical expedient to assume that current conditions as of the balance sheet date do not change for the remaining life of the assets and with an accounting policy election to consider collection activity after the balance sheet date when estimating expected credit losses for current accounts receivable and current contract assets arising from transactions accounted for under Topic 606. This guidance is effective for annual reporting periods beginning after December 15, 2025 and interim reporting periods within those annual reporting periods. Early adoption is permitted. The Company is currently evaluating the effect of adopting this guidance.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Except for the above-mentioned pronouncements, there are no new recently issued accounting standards that will have a material impact on the Group’s unaudited condensed consolidated financial statements. </w:t>
      </w:r>
    </w:p>
    <w:tbl>
      <w:tblPr>
        <w:tblW w:w="2755" w:type="dxa"/>
        <w:jc w:val="left"/>
        <w:tblInd w:w="0" w:type="dxa"/>
        <w:tblLayout w:type="fixed"/>
        <w:tblCellMar>
          <w:top w:w="0" w:type="dxa"/>
          <w:left w:w="0" w:type="dxa"/>
          <w:bottom w:w="0" w:type="dxa"/>
          <w:right w:w="0" w:type="dxa"/>
        </w:tblCellMar>
      </w:tblPr>
      <w:tblGrid>
        <w:gridCol w:w="170"/>
        <w:gridCol w:w="258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25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INVESTMENT SECURITIES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In August 2025, the Company invested $1,000,000 in membership interests of a certain investment fund, which is a limited liability company incorporated in the State of Delaware representing approximately 1% of the outstanding membership interests of the investment fund. The Company determined it does not have significant influence in the investment fund and the investment does not have readily determinable fair value, and is eligible to measure in accordance with NAV practical expedient.</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holds 100% of member interest in WIG SPC, an exempted segregated portfolio company. WIG SPC is the host legal entity of multiple segregated portfolios and does not have material assets, liabilities, or equity other than those solely attributable to the individual segregated portfolios. Each segregated portfolio (“SP”) holds specified assets and liabilities that are legally and economically segregated from the other SP and WIG SPC. Because the power to direct the activities that most significantly impact economic performance and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F-12</w:t>
      </w:r>
    </w:p>
    <w:p>
      <w:pPr>
        <w:pStyle w:val="HorizontalLine"/>
        <w:bidi w:val="0"/>
        <w:spacing w:before="200" w:after="200"/>
        <w:jc w:val="left"/>
        <w:rPr/>
      </w:pPr>
      <w:r>
        <w:rPr/>
      </w:r>
    </w:p>
    <w:p>
      <w:pPr>
        <w:pStyle w:val="TextBody"/>
        <w:bidi w:val="0"/>
        <w:jc w:val="left"/>
        <w:rPr/>
      </w:pPr>
      <w:hyperlink w:anchor="TOC">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p>
      <w:pPr>
        <w:pStyle w:val="TextBody"/>
        <w:bidi w:val="0"/>
        <w:spacing w:before="16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related risks and rewards are isolated at the SP level, the equity interests of the individual SPs do not represent equity investment at risk of WIG SPC as a whole under ASC 810, Consolidation.</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Company determined that it is not the primary beneficiary of any of the segregated portfolios and, accordingly, does not consolidate the segregated portfolios in its consolidated financial statements.</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six months ended September 30, 2025, WSI launched Z Navigation Option Hedge Fund S.P. (“SP4” or “Z Navigation”), a segregated portfolio within WIG SPC.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July 2025, WSI subscribed for $1,000,000 Class VI Shares of Z Navigation at the subscription price of $15 per share. Z Navigation is a segregated portfolio fund under WIG SPC and invests in a private equity fund and certain listed equity securities. The fund is readily marketable and the Group is expected to realize it in a short-term period. As of September 30, 2025, the Company’s variable interest in Z Navigation is classified as Investment securities, at NAV – related party, with a carrying amount of $1,000,000. The Company’s maximum exposure to loss is limited to its subscription amount of $1 million, representing its junior tranche capital amongst $2 million total junior tranche capital paid up by junior tranche members. WSI co-manages the fund with another senior tranche investor pursuant to a supplemental fund management agreement during the six months ended September 30, 2025. The Company has no obligation to provide additional financial support, including liquidity facilities, guarantees, or asset purchase commitments. The senior tranche stop-loss protection is borne solely by senior investors.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six months ended September 30, 2025 and 2024, the Company recognized the changes in net asset value of investments of $0.74 million and nil, respectively. </w:t>
      </w:r>
    </w:p>
    <w:tbl>
      <w:tblPr>
        <w:tblW w:w="3775" w:type="dxa"/>
        <w:jc w:val="left"/>
        <w:tblInd w:w="0" w:type="dxa"/>
        <w:tblLayout w:type="fixed"/>
        <w:tblCellMar>
          <w:top w:w="0" w:type="dxa"/>
          <w:left w:w="0" w:type="dxa"/>
          <w:bottom w:w="0" w:type="dxa"/>
          <w:right w:w="0" w:type="dxa"/>
        </w:tblCellMar>
      </w:tblPr>
      <w:tblGrid>
        <w:gridCol w:w="170"/>
        <w:gridCol w:w="360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3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EQUITY METHOD INVESTMENT, NET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year ended March 31, 2024, WSI acquired a 55% interest in LeFeng Hainan Private Equity Fund Management Limited (“LeFeng”). WSI does not have the requisite voting power of two thirds or more to control LeFeng pursuant to its articles of association and cannot remove the existing sole director appointed by the other shareholder holding a 45% equity interest without cause. WSI’s obligation to absorb losses of, or the right to receive benefits from, the investee is limited to its capital investments or its rights to receive sharing of profit from the investee based on its proportionate share of the capital contributions. The Group determined it has ability to exercise significant influence over its financial and operating polices and therefore accounted for this investment under equity method.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October 2024, WSI and the sole director of LeFeng (the “Purchaser”) entered into a shares transfer agreement, pursuant to which WSI agreed to sell and the Purchaser agreed to purchase the 55% equity interest in LeFeng with carrying amount of $0.77 million for a consideration of approximately $0.90 million (equivalent to HK$7,000,000) (the “Divestment”). The Divestment was completed during the six months ended September 30, 2025.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For the six months ended September 30, 2025 and 2024, the loss on share of equity method investment was $0.03 million and $0.34 million.</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the six months ended September 30, 2025, the Company recorded a gain on sale of equity method investment of $0.74 million and provided an allowance on expected credit loss of $0.74 million on the receivable of the Divestment, which is recorded in the “Prepaid expenses and other current assets”. </w:t>
      </w:r>
    </w:p>
    <w:tbl>
      <w:tblPr>
        <w:tblW w:w="985" w:type="dxa"/>
        <w:jc w:val="left"/>
        <w:tblInd w:w="0" w:type="dxa"/>
        <w:tblLayout w:type="fixed"/>
        <w:tblCellMar>
          <w:top w:w="0" w:type="dxa"/>
          <w:left w:w="0" w:type="dxa"/>
          <w:bottom w:w="0" w:type="dxa"/>
          <w:right w:w="0" w:type="dxa"/>
        </w:tblCellMar>
      </w:tblPr>
      <w:tblGrid>
        <w:gridCol w:w="170"/>
        <w:gridCol w:w="81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LEASES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Group has operating leases for its offices with terms ranging from two to three years. In April and September 2023, the Group entered into two new lease agreements, one for its corporate headquarters at Harbor City, Hong Kong, and the other for employee residence. The Group also has a finance lease for a printer, which is deemed not material for accounting purposes.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F-13</w:t>
      </w:r>
    </w:p>
    <w:p>
      <w:pPr>
        <w:pStyle w:val="HorizontalLine"/>
        <w:bidi w:val="0"/>
        <w:spacing w:before="200" w:after="200"/>
        <w:jc w:val="left"/>
        <w:rPr/>
      </w:pPr>
      <w:r>
        <w:rPr/>
      </w:r>
    </w:p>
    <w:p>
      <w:pPr>
        <w:pStyle w:val="TextBody"/>
        <w:bidi w:val="0"/>
        <w:jc w:val="left"/>
        <w:rPr/>
      </w:pPr>
      <w:hyperlink w:anchor="TOC">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p>
      <w:pPr>
        <w:pStyle w:val="TextBody"/>
        <w:bidi w:val="0"/>
        <w:spacing w:before="16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components of lease costs are as follows: </w:t>
      </w:r>
    </w:p>
    <w:p>
      <w:pPr>
        <w:pStyle w:val="TextBody"/>
        <w:bidi w:val="0"/>
        <w:spacing w:before="160" w:after="283"/>
        <w:ind w:left="0" w:right="0" w:hanging="0"/>
        <w:jc w:val="left"/>
        <w:rPr>
          <w:color w:val="000000"/>
          <w:shd w:fill="FFFFFF" w:val="clear"/>
        </w:rPr>
      </w:pPr>
      <w:r>
        <w:rPr>
          <w:color w:val="000000"/>
          <w:shd w:fill="FFFFFF" w:val="clear"/>
        </w:rPr>
        <w:t> </w:t>
      </w:r>
    </w:p>
    <w:tbl>
      <w:tblPr>
        <w:tblW w:w="3920" w:type="dxa"/>
        <w:jc w:val="left"/>
        <w:tblInd w:w="0" w:type="dxa"/>
        <w:tblLayout w:type="fixed"/>
        <w:tblCellMar>
          <w:top w:w="0" w:type="dxa"/>
          <w:left w:w="0" w:type="dxa"/>
          <w:bottom w:w="0" w:type="dxa"/>
          <w:right w:w="0" w:type="dxa"/>
        </w:tblCellMar>
      </w:tblPr>
      <w:tblGrid>
        <w:gridCol w:w="1745"/>
        <w:gridCol w:w="140"/>
        <w:gridCol w:w="140"/>
        <w:gridCol w:w="800"/>
        <w:gridCol w:w="140"/>
        <w:gridCol w:w="140"/>
        <w:gridCol w:w="815"/>
      </w:tblGrid>
      <w:tr>
        <w:trPr/>
        <w:tc>
          <w:tcPr>
            <w:tcW w:w="17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gridSpan w:val="4"/>
            <w:tcBorders/>
            <w:vAlign w:val="center"/>
          </w:tcPr>
          <w:p>
            <w:pPr>
              <w:pStyle w:val="TableContents"/>
              <w:bidi w:val="0"/>
              <w:spacing w:before="0" w:after="0"/>
              <w:jc w:val="left"/>
              <w:rPr/>
            </w:pPr>
            <w:r>
              <w:rPr/>
              <w:t> </w:t>
            </w:r>
          </w:p>
        </w:tc>
      </w:tr>
      <w:tr>
        <w:trPr/>
        <w:tc>
          <w:tcPr>
            <w:tcW w:w="1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tc>
      </w:tr>
      <w:tr>
        <w:trPr/>
        <w:tc>
          <w:tcPr>
            <w:tcW w:w="17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7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costs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$325,960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$315,013</w:t>
            </w:r>
          </w:p>
        </w:tc>
      </w:tr>
      <w:tr>
        <w:trPr/>
        <w:tc>
          <w:tcPr>
            <w:tcW w:w="17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presents supplemental information related to the Group’s leases: </w:t>
      </w:r>
    </w:p>
    <w:p>
      <w:pPr>
        <w:pStyle w:val="TextBody"/>
        <w:bidi w:val="0"/>
        <w:spacing w:before="160" w:after="283"/>
        <w:ind w:left="0" w:right="0" w:hanging="0"/>
        <w:jc w:val="left"/>
        <w:rPr>
          <w:color w:val="000000"/>
          <w:shd w:fill="FFFFFF" w:val="clear"/>
        </w:rPr>
      </w:pPr>
      <w:r>
        <w:rPr>
          <w:color w:val="000000"/>
          <w:shd w:fill="FFFFFF" w:val="clear"/>
        </w:rPr>
        <w:t> </w:t>
      </w:r>
    </w:p>
    <w:tbl>
      <w:tblPr>
        <w:tblW w:w="8240" w:type="dxa"/>
        <w:jc w:val="left"/>
        <w:tblInd w:w="0" w:type="dxa"/>
        <w:tblLayout w:type="fixed"/>
        <w:tblCellMar>
          <w:top w:w="0" w:type="dxa"/>
          <w:left w:w="0" w:type="dxa"/>
          <w:bottom w:w="0" w:type="dxa"/>
          <w:right w:w="0" w:type="dxa"/>
        </w:tblCellMar>
      </w:tblPr>
      <w:tblGrid>
        <w:gridCol w:w="6020"/>
        <w:gridCol w:w="140"/>
        <w:gridCol w:w="140"/>
        <w:gridCol w:w="800"/>
        <w:gridCol w:w="140"/>
        <w:gridCol w:w="140"/>
        <w:gridCol w:w="860"/>
      </w:tblGrid>
      <w:tr>
        <w:trPr/>
        <w:tc>
          <w:tcPr>
            <w:tcW w:w="60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vAlign w:val="center"/>
          </w:tcPr>
          <w:p>
            <w:pPr>
              <w:pStyle w:val="TableContents"/>
              <w:bidi w:val="0"/>
              <w:spacing w:before="0" w:after="0"/>
              <w:jc w:val="left"/>
              <w:rPr/>
            </w:pPr>
            <w:r>
              <w:rPr/>
              <w:t> </w:t>
            </w:r>
          </w:p>
        </w:tc>
      </w:tr>
      <w:tr>
        <w:trPr/>
        <w:tc>
          <w:tcPr>
            <w:tcW w:w="6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tc>
      </w:tr>
      <w:tr>
        <w:trPr/>
        <w:tc>
          <w:tcPr>
            <w:tcW w:w="60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60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paid for amounts included in the measurement of lease liabilities: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6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cash flows from operating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$290,920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$252,730 </w:t>
            </w:r>
          </w:p>
        </w:tc>
      </w:tr>
      <w:tr>
        <w:trPr/>
        <w:tc>
          <w:tcPr>
            <w:tcW w:w="60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Lease term and discount rate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center"/>
              <w:rPr>
                <w:color w:val="000000"/>
              </w:rPr>
            </w:pPr>
            <w:r>
              <w:rPr>
                <w:color w:val="000000"/>
              </w:rPr>
              <w:t> </w:t>
            </w:r>
          </w:p>
        </w:tc>
      </w:tr>
      <w:tr>
        <w:trPr/>
        <w:tc>
          <w:tcPr>
            <w:tcW w:w="6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Weighted average remaining lease term (years)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60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0.50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 </w:t>
            </w:r>
          </w:p>
        </w:tc>
      </w:tr>
      <w:tr>
        <w:trPr/>
        <w:tc>
          <w:tcPr>
            <w:tcW w:w="6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Weighted average discount rate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center"/>
              <w:rPr>
                <w:color w:val="000000"/>
              </w:rPr>
            </w:pPr>
            <w:r>
              <w:rPr>
                <w:color w:val="000000"/>
              </w:rPr>
              <w:t> </w:t>
            </w:r>
          </w:p>
        </w:tc>
      </w:tr>
      <w:tr>
        <w:trPr/>
        <w:tc>
          <w:tcPr>
            <w:tcW w:w="602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5.13%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39" w:right="0" w:hanging="0"/>
              <w:jc w:val="left"/>
              <w:rPr>
                <w:rFonts w:ascii="Times New Roman;Times;serif" w:hAnsi="Times New Roman;Times;serif"/>
                <w:color w:val="000000"/>
                <w:sz w:val="20"/>
              </w:rPr>
            </w:pPr>
            <w:r>
              <w:rPr>
                <w:rFonts w:ascii="Times New Roman;Times;serif" w:hAnsi="Times New Roman;Times;serif"/>
                <w:color w:val="000000"/>
                <w:sz w:val="20"/>
              </w:rPr>
              <w:t>5.13%</w:t>
            </w:r>
          </w:p>
        </w:tc>
      </w:tr>
      <w:tr>
        <w:trPr/>
        <w:tc>
          <w:tcPr>
            <w:tcW w:w="60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p>
      <w:pPr>
        <w:pStyle w:val="TextBody"/>
        <w:bidi w:val="0"/>
        <w:spacing w:before="13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September 30, 2025, the future maturity of lease liabilities is as follows: </w:t>
      </w:r>
    </w:p>
    <w:p>
      <w:pPr>
        <w:pStyle w:val="TextBody"/>
        <w:bidi w:val="0"/>
        <w:spacing w:before="160" w:after="283"/>
        <w:ind w:left="0" w:right="0" w:hanging="0"/>
        <w:jc w:val="left"/>
        <w:rPr>
          <w:color w:val="000000"/>
          <w:shd w:fill="FFFFFF" w:val="clear"/>
        </w:rPr>
      </w:pPr>
      <w:r>
        <w:rPr>
          <w:color w:val="000000"/>
          <w:shd w:fill="FFFFFF" w:val="clear"/>
        </w:rPr>
        <w:t> </w:t>
      </w:r>
    </w:p>
    <w:tbl>
      <w:tblPr>
        <w:tblW w:w="5090" w:type="dxa"/>
        <w:jc w:val="left"/>
        <w:tblInd w:w="0" w:type="dxa"/>
        <w:tblLayout w:type="fixed"/>
        <w:tblCellMar>
          <w:top w:w="0" w:type="dxa"/>
          <w:left w:w="0" w:type="dxa"/>
          <w:bottom w:w="0" w:type="dxa"/>
          <w:right w:w="0" w:type="dxa"/>
        </w:tblCellMar>
      </w:tblPr>
      <w:tblGrid>
        <w:gridCol w:w="3950"/>
        <w:gridCol w:w="140"/>
        <w:gridCol w:w="140"/>
        <w:gridCol w:w="860"/>
      </w:tblGrid>
      <w:tr>
        <w:trPr/>
        <w:tc>
          <w:tcPr>
            <w:tcW w:w="3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39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Operating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lease </w:t>
            </w:r>
          </w:p>
        </w:tc>
      </w:tr>
      <w:tr>
        <w:trPr/>
        <w:tc>
          <w:tcPr>
            <w:tcW w:w="3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Remainder of fiscal year ending March 31, 2026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$214,809 </w:t>
            </w:r>
          </w:p>
        </w:tc>
      </w:tr>
      <w:tr>
        <w:trPr/>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(3,623)</w:t>
            </w:r>
          </w:p>
        </w:tc>
      </w:tr>
      <w:tr>
        <w:trPr/>
        <w:tc>
          <w:tcPr>
            <w:tcW w:w="3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Present value of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$211,186</w:t>
            </w:r>
          </w:p>
        </w:tc>
      </w:tr>
      <w:tr>
        <w:trPr/>
        <w:tc>
          <w:tcPr>
            <w:tcW w:w="3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r>
    </w:tbl>
    <w:tbl>
      <w:tblPr>
        <w:tblW w:w="1735" w:type="dxa"/>
        <w:jc w:val="left"/>
        <w:tblInd w:w="0" w:type="dxa"/>
        <w:tblLayout w:type="fixed"/>
        <w:tblCellMar>
          <w:top w:w="0" w:type="dxa"/>
          <w:left w:w="0" w:type="dxa"/>
          <w:bottom w:w="0" w:type="dxa"/>
          <w:right w:w="0" w:type="dxa"/>
        </w:tblCellMar>
      </w:tblPr>
      <w:tblGrid>
        <w:gridCol w:w="170"/>
        <w:gridCol w:w="156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1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INCOME TAXES </w:t>
            </w:r>
          </w:p>
        </w:tc>
      </w:tr>
    </w:tbl>
    <w:p>
      <w:pPr>
        <w:pStyle w:val="TextBody"/>
        <w:bidi w:val="0"/>
        <w:spacing w:before="15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income tax provision consisted of the following components: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4473" w:type="dxa"/>
        <w:jc w:val="left"/>
        <w:tblInd w:w="0" w:type="dxa"/>
        <w:tblLayout w:type="fixed"/>
        <w:tblCellMar>
          <w:top w:w="0" w:type="dxa"/>
          <w:left w:w="0" w:type="dxa"/>
          <w:bottom w:w="0" w:type="dxa"/>
          <w:right w:w="0" w:type="dxa"/>
        </w:tblCellMar>
      </w:tblPr>
      <w:tblGrid>
        <w:gridCol w:w="2300"/>
        <w:gridCol w:w="140"/>
        <w:gridCol w:w="140"/>
        <w:gridCol w:w="525"/>
        <w:gridCol w:w="193"/>
        <w:gridCol w:w="193"/>
        <w:gridCol w:w="982"/>
      </w:tblGrid>
      <w:tr>
        <w:trPr/>
        <w:tc>
          <w:tcPr>
            <w:tcW w:w="2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3" w:type="dxa"/>
            <w:gridSpan w:val="4"/>
            <w:tcBorders/>
            <w:vAlign w:val="center"/>
          </w:tcPr>
          <w:p>
            <w:pPr>
              <w:pStyle w:val="TableContents"/>
              <w:bidi w:val="0"/>
              <w:spacing w:before="0" w:after="0"/>
              <w:jc w:val="left"/>
              <w:rPr/>
            </w:pPr>
            <w:r>
              <w:rPr/>
              <w:t> </w:t>
            </w:r>
          </w:p>
        </w:tc>
      </w:tr>
      <w:tr>
        <w:trPr/>
        <w:tc>
          <w:tcPr>
            <w:tcW w:w="23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tc>
      </w:tr>
      <w:tr>
        <w:trPr/>
        <w:tc>
          <w:tcPr>
            <w:tcW w:w="23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93" w:type="dxa"/>
            <w:tcBorders/>
            <w:vAlign w:val="center"/>
          </w:tcPr>
          <w:p>
            <w:pPr>
              <w:pStyle w:val="TableContents"/>
              <w:bidi w:val="0"/>
              <w:spacing w:before="0" w:after="0"/>
              <w:jc w:val="left"/>
              <w:rPr/>
            </w:pPr>
            <w:r>
              <w:rPr/>
              <w:t> </w:t>
            </w:r>
          </w:p>
        </w:tc>
        <w:tc>
          <w:tcPr>
            <w:tcW w:w="193" w:type="dxa"/>
            <w:tcBorders/>
            <w:vAlign w:val="center"/>
          </w:tcPr>
          <w:p>
            <w:pPr>
              <w:pStyle w:val="TableContents"/>
              <w:bidi w:val="0"/>
              <w:spacing w:before="0" w:after="0"/>
              <w:jc w:val="left"/>
              <w:rPr/>
            </w:pPr>
            <w:r>
              <w:rPr/>
              <w:t> </w:t>
            </w:r>
          </w:p>
        </w:tc>
        <w:tc>
          <w:tcPr>
            <w:tcW w:w="9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income tax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5"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93" w:type="dxa"/>
            <w:tcBorders/>
            <w:shd w:fill="CCEEFF" w:val="clear"/>
            <w:vAlign w:val="center"/>
          </w:tcPr>
          <w:p>
            <w:pPr>
              <w:pStyle w:val="TableContents"/>
              <w:bidi w:val="0"/>
              <w:spacing w:before="0" w:after="0"/>
              <w:jc w:val="left"/>
              <w:rPr/>
            </w:pPr>
            <w:r>
              <w:rPr/>
              <w:t> </w:t>
            </w:r>
          </w:p>
        </w:tc>
        <w:tc>
          <w:tcPr>
            <w:tcW w:w="193"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3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income tax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5" w:type="dxa"/>
            <w:tcBorders/>
            <w:vAlign w:val="center"/>
          </w:tcPr>
          <w:p>
            <w:pPr>
              <w:pStyle w:val="TableContents"/>
              <w:bidi w:val="0"/>
              <w:spacing w:before="0" w:after="283"/>
              <w:ind w:left="181" w:right="0" w:hanging="0"/>
              <w:jc w:val="left"/>
              <w:rPr>
                <w:color w:val="000000"/>
                <w:bdr w:val="single" w:sz="8" w:space="2" w:color="000000"/>
              </w:rPr>
            </w:pPr>
            <w:r>
              <w:rPr>
                <w:color w:val="000000"/>
                <w:bdr w:val="single" w:sz="8" w:space="2" w:color="000000"/>
              </w:rPr>
              <w:t>—</w:t>
            </w:r>
          </w:p>
        </w:tc>
        <w:tc>
          <w:tcPr>
            <w:tcW w:w="193" w:type="dxa"/>
            <w:tcBorders/>
            <w:vAlign w:val="center"/>
          </w:tcPr>
          <w:p>
            <w:pPr>
              <w:pStyle w:val="TableContents"/>
              <w:bidi w:val="0"/>
              <w:spacing w:before="0" w:after="0"/>
              <w:jc w:val="left"/>
              <w:rPr/>
            </w:pPr>
            <w:r>
              <w:rPr/>
              <w:t> </w:t>
            </w:r>
          </w:p>
        </w:tc>
        <w:tc>
          <w:tcPr>
            <w:tcW w:w="193"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17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77,138 </w:t>
            </w:r>
          </w:p>
        </w:tc>
      </w:tr>
      <w:tr>
        <w:trPr/>
        <w:tc>
          <w:tcPr>
            <w:tcW w:w="23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income tax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5"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93" w:type="dxa"/>
            <w:tcBorders/>
            <w:shd w:fill="CCEEFF" w:val="clear"/>
            <w:vAlign w:val="center"/>
          </w:tcPr>
          <w:p>
            <w:pPr>
              <w:pStyle w:val="TableContents"/>
              <w:bidi w:val="0"/>
              <w:spacing w:before="0" w:after="0"/>
              <w:jc w:val="left"/>
              <w:rPr/>
            </w:pPr>
            <w:r>
              <w:rPr/>
              <w:t> </w:t>
            </w:r>
          </w:p>
        </w:tc>
        <w:tc>
          <w:tcPr>
            <w:tcW w:w="193"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$77,138</w:t>
            </w:r>
          </w:p>
        </w:tc>
      </w:tr>
      <w:tr>
        <w:trPr/>
        <w:tc>
          <w:tcPr>
            <w:tcW w:w="23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25" w:type="dxa"/>
            <w:tcBorders/>
            <w:shd w:fill="CCEEFF" w:val="clear"/>
            <w:vAlign w:val="center"/>
          </w:tcPr>
          <w:p>
            <w:pPr>
              <w:pStyle w:val="TableContents"/>
              <w:bidi w:val="0"/>
              <w:spacing w:before="0" w:after="0"/>
              <w:jc w:val="left"/>
              <w:rPr/>
            </w:pPr>
            <w:r>
              <w:rPr/>
              <w:t> </w:t>
            </w:r>
          </w:p>
        </w:tc>
        <w:tc>
          <w:tcPr>
            <w:tcW w:w="193" w:type="dxa"/>
            <w:tcBorders/>
            <w:shd w:fill="CCEEFF" w:val="clear"/>
            <w:vAlign w:val="center"/>
          </w:tcPr>
          <w:p>
            <w:pPr>
              <w:pStyle w:val="TableContents"/>
              <w:bidi w:val="0"/>
              <w:spacing w:before="0" w:after="0"/>
              <w:jc w:val="left"/>
              <w:rPr/>
            </w:pPr>
            <w:r>
              <w:rPr/>
              <w:t> </w:t>
            </w:r>
          </w:p>
        </w:tc>
        <w:tc>
          <w:tcPr>
            <w:tcW w:w="193"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F-14</w:t>
      </w:r>
    </w:p>
    <w:p>
      <w:pPr>
        <w:pStyle w:val="HorizontalLine"/>
        <w:bidi w:val="0"/>
        <w:spacing w:before="200" w:after="200"/>
        <w:jc w:val="left"/>
        <w:rPr/>
      </w:pPr>
      <w:r>
        <w:rPr/>
      </w:r>
    </w:p>
    <w:p>
      <w:pPr>
        <w:pStyle w:val="TextBody"/>
        <w:bidi w:val="0"/>
        <w:jc w:val="left"/>
        <w:rPr/>
      </w:pPr>
      <w:hyperlink w:anchor="TOC">
        <w:bookmarkStart w:id="109" w:name="ny20053887x8_posam_202-finnotes_pg9"/>
        <w:bookmarkEnd w:id="10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p>
      <w:pPr>
        <w:pStyle w:val="TextBody"/>
        <w:bidi w:val="0"/>
        <w:spacing w:before="16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the six months ended September 30, 2024, as a result of the Company’s inability to establish a reliable estimate for the annual effective tax rate, the Company calculated income tax expense using the actual effective tax rate year to date, as opposed to the estimated annual effective tax rate. A reconciliation between the Group’s effective income tax rate and the provision under Hong Kong statutory tax rate is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6770" w:type="dxa"/>
        <w:jc w:val="left"/>
        <w:tblInd w:w="0" w:type="dxa"/>
        <w:tblLayout w:type="fixed"/>
        <w:tblCellMar>
          <w:top w:w="0" w:type="dxa"/>
          <w:left w:w="0" w:type="dxa"/>
          <w:bottom w:w="0" w:type="dxa"/>
          <w:right w:w="0" w:type="dxa"/>
        </w:tblCellMar>
      </w:tblPr>
      <w:tblGrid>
        <w:gridCol w:w="4250"/>
        <w:gridCol w:w="140"/>
        <w:gridCol w:w="140"/>
        <w:gridCol w:w="950"/>
        <w:gridCol w:w="140"/>
        <w:gridCol w:w="140"/>
        <w:gridCol w:w="1010"/>
      </w:tblGrid>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vAlign w:val="center"/>
          </w:tcPr>
          <w:p>
            <w:pPr>
              <w:pStyle w:val="TableContents"/>
              <w:bidi w:val="0"/>
              <w:spacing w:before="0" w:after="0"/>
              <w:jc w:val="left"/>
              <w:rPr/>
            </w:pPr>
            <w:r>
              <w:rPr/>
              <w:t>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tc>
      </w:tr>
      <w:tr>
        <w:trPr/>
        <w:tc>
          <w:tcPr>
            <w:tcW w:w="4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before income tax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$8,366,642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$1,225,393 </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at applicable income tax rate (16.5%)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1,380,496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202,190</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effect of different tax rates in other jurisdictions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(376,714)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(120,430)</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effect on non-taxable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effect on non-deductible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(142,672)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(4,648)</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effect on tax losses not recognized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w:t>
            </w:r>
          </w:p>
        </w:tc>
      </w:tr>
      <w:tr>
        <w:trPr/>
        <w:tc>
          <w:tcPr>
            <w:tcW w:w="4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effect on change in valuation allowance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(860,449)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r>
      <w:tr>
        <w:trPr/>
        <w:tc>
          <w:tcPr>
            <w:tcW w:w="4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$77,138</w:t>
            </w:r>
          </w:p>
        </w:tc>
      </w:tr>
      <w:tr>
        <w:trPr/>
        <w:tc>
          <w:tcPr>
            <w:tcW w:w="4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September 30, 2025 and March 31, 2025, the significant components of the deferred tax assets were summarized below: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8045" w:type="dxa"/>
        <w:jc w:val="left"/>
        <w:tblInd w:w="0" w:type="dxa"/>
        <w:tblLayout w:type="fixed"/>
        <w:tblCellMar>
          <w:top w:w="0" w:type="dxa"/>
          <w:left w:w="0" w:type="dxa"/>
          <w:bottom w:w="0" w:type="dxa"/>
          <w:right w:w="0" w:type="dxa"/>
        </w:tblCellMar>
      </w:tblPr>
      <w:tblGrid>
        <w:gridCol w:w="5150"/>
        <w:gridCol w:w="140"/>
        <w:gridCol w:w="140"/>
        <w:gridCol w:w="1100"/>
        <w:gridCol w:w="140"/>
        <w:gridCol w:w="140"/>
        <w:gridCol w:w="1235"/>
      </w:tblGrid>
      <w:tr>
        <w:trPr/>
        <w:tc>
          <w:tcPr>
            <w:tcW w:w="51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vAlign w:val="center"/>
          </w:tcPr>
          <w:p>
            <w:pPr>
              <w:pStyle w:val="TableContents"/>
              <w:bidi w:val="0"/>
              <w:spacing w:before="0" w:after="0"/>
              <w:jc w:val="left"/>
              <w:rPr/>
            </w:pPr>
            <w:r>
              <w:rPr/>
              <w:t> </w:t>
            </w:r>
          </w:p>
        </w:tc>
      </w:tr>
      <w:tr>
        <w:trPr/>
        <w:tc>
          <w:tcPr>
            <w:tcW w:w="51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1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tc>
      </w:tr>
      <w:tr>
        <w:trPr/>
        <w:tc>
          <w:tcPr>
            <w:tcW w:w="51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2025 </w:t>
            </w:r>
          </w:p>
        </w:tc>
      </w:tr>
      <w:tr>
        <w:trPr/>
        <w:tc>
          <w:tcPr>
            <w:tcW w:w="5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loss carried forward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1,239,510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59"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614,768 </w:t>
            </w:r>
          </w:p>
        </w:tc>
      </w:tr>
      <w:tr>
        <w:trPr/>
        <w:tc>
          <w:tcPr>
            <w:tcW w:w="5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Temporary difference from share-based compensation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1,233,828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59" w:right="0" w:hanging="0"/>
              <w:jc w:val="left"/>
              <w:rPr>
                <w:rFonts w:ascii="Times New Roman;Times;serif" w:hAnsi="Times New Roman;Times;serif"/>
                <w:color w:val="000000"/>
                <w:sz w:val="20"/>
              </w:rPr>
            </w:pPr>
            <w:r>
              <w:rPr>
                <w:rFonts w:ascii="Times New Roman;Times;serif" w:hAnsi="Times New Roman;Times;serif"/>
                <w:color w:val="000000"/>
                <w:sz w:val="20"/>
              </w:rPr>
              <w:t>848,574</w:t>
            </w:r>
          </w:p>
        </w:tc>
      </w:tr>
      <w:tr>
        <w:trPr/>
        <w:tc>
          <w:tcPr>
            <w:tcW w:w="5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Unrealized loss from the equity method investment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 w:right="0" w:hanging="0"/>
              <w:jc w:val="left"/>
              <w:rPr>
                <w:rFonts w:ascii="Times New Roman;Times;serif" w:hAnsi="Times New Roman;Times;serif"/>
                <w:color w:val="000000"/>
                <w:sz w:val="20"/>
              </w:rPr>
            </w:pPr>
            <w:r>
              <w:rPr>
                <w:rFonts w:ascii="Times New Roman;Times;serif" w:hAnsi="Times New Roman;Times;serif"/>
                <w:color w:val="000000"/>
                <w:sz w:val="20"/>
              </w:rPr>
              <w:t>122,819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59" w:right="0" w:hanging="0"/>
              <w:jc w:val="left"/>
              <w:rPr>
                <w:color w:val="000000"/>
              </w:rPr>
            </w:pPr>
            <w:r>
              <w:rPr>
                <w:color w:val="000000"/>
              </w:rPr>
              <w:t>—</w:t>
            </w:r>
          </w:p>
        </w:tc>
      </w:tr>
      <w:tr>
        <w:trPr/>
        <w:tc>
          <w:tcPr>
            <w:tcW w:w="5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5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19,236</w:t>
            </w:r>
          </w:p>
        </w:tc>
      </w:tr>
      <w:tr>
        <w:trPr/>
        <w:tc>
          <w:tcPr>
            <w:tcW w:w="51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Subtotal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 w:right="0" w:hanging="0"/>
              <w:jc w:val="left"/>
              <w:rPr>
                <w:rFonts w:ascii="Times New Roman;Times;serif" w:hAnsi="Times New Roman;Times;serif"/>
                <w:b/>
                <w:color w:val="000000"/>
                <w:sz w:val="20"/>
              </w:rPr>
            </w:pPr>
            <w:r>
              <w:rPr>
                <w:rFonts w:ascii="Times New Roman;Times;serif" w:hAnsi="Times New Roman;Times;serif"/>
                <w:b/>
                <w:color w:val="000000"/>
                <w:sz w:val="20"/>
              </w:rPr>
              <w:t>2,598,792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59" w:right="0" w:hanging="0"/>
              <w:jc w:val="left"/>
              <w:rPr>
                <w:rFonts w:ascii="Times New Roman;Times;serif" w:hAnsi="Times New Roman;Times;serif"/>
                <w:b/>
                <w:color w:val="000000"/>
                <w:sz w:val="20"/>
              </w:rPr>
            </w:pPr>
            <w:r>
              <w:rPr>
                <w:rFonts w:ascii="Times New Roman;Times;serif" w:hAnsi="Times New Roman;Times;serif"/>
                <w:b/>
                <w:color w:val="000000"/>
                <w:sz w:val="20"/>
              </w:rPr>
              <w:t>1,482,578</w:t>
            </w:r>
          </w:p>
        </w:tc>
      </w:tr>
      <w:tr>
        <w:trPr/>
        <w:tc>
          <w:tcPr>
            <w:tcW w:w="5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Less: valuation allowance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(2,598,792)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5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(1,482,578)</w:t>
            </w:r>
          </w:p>
        </w:tc>
      </w:tr>
      <w:tr>
        <w:trPr/>
        <w:tc>
          <w:tcPr>
            <w:tcW w:w="51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deferred tax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1"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59"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w:t>
            </w:r>
          </w:p>
        </w:tc>
      </w:tr>
      <w:tr>
        <w:trPr/>
        <w:tc>
          <w:tcPr>
            <w:tcW w:w="51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realization of deferred tax assets is dependent upon the generation of sufficient taxable income of the appropriate character in future periods. The Group regularly assesses the ability to realize its deferred tax assets and establishes a valuation allowance if it is more-likely-than-not that some portion of the deferred tax assets will not be realized. The Group weighs all available positive and negative evidence, including its earnings history and results of recent operations, projected future taxable income, and tax planning strategies.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September 30, 2025 and March 31, 2025, the Group had accumulated net operating loss carryforwards of $7.5 million and $3.7 million, respectively. For entities incorporated in Hong Kong, net loss can be carried forward indefinitely. As of September 30, 2025, the Company continues to maintain a full valuation allowance against the deferred tax assets due to significant negative evidence, the Company’s assessment that it is not more likely than not that the deferred tax assets will be realized.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F-15</w:t>
      </w:r>
    </w:p>
    <w:p>
      <w:pPr>
        <w:pStyle w:val="HorizontalLine"/>
        <w:bidi w:val="0"/>
        <w:spacing w:before="200" w:after="200"/>
        <w:jc w:val="left"/>
        <w:rPr/>
      </w:pPr>
      <w:r>
        <w:rPr/>
      </w:r>
    </w:p>
    <w:p>
      <w:pPr>
        <w:pStyle w:val="TextBody"/>
        <w:bidi w:val="0"/>
        <w:jc w:val="left"/>
        <w:rPr/>
      </w:pPr>
      <w:hyperlink w:anchor="TOC">
        <w:bookmarkStart w:id="110" w:name="ny20053887x8_posam_202-finnotes_pg10"/>
        <w:bookmarkEnd w:id="11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tbl>
      <w:tblPr>
        <w:tblW w:w="2935" w:type="dxa"/>
        <w:jc w:val="left"/>
        <w:tblInd w:w="0" w:type="dxa"/>
        <w:tblLayout w:type="fixed"/>
        <w:tblCellMar>
          <w:top w:w="0" w:type="dxa"/>
          <w:left w:w="0" w:type="dxa"/>
          <w:bottom w:w="0" w:type="dxa"/>
          <w:right w:w="0" w:type="dxa"/>
        </w:tblCellMar>
      </w:tblPr>
      <w:tblGrid>
        <w:gridCol w:w="170"/>
        <w:gridCol w:w="276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27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DISAGGREGATED REVENUE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addition to the information shown in the above disclosures, the revenue from contracts with customers within FASB ASC 606 and other sources of revenue is disaggregated as follow: </w:t>
      </w:r>
    </w:p>
    <w:p>
      <w:pPr>
        <w:pStyle w:val="TextBody"/>
        <w:bidi w:val="0"/>
        <w:spacing w:before="2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2810"/>
        <w:gridCol w:w="140"/>
        <w:gridCol w:w="140"/>
        <w:gridCol w:w="950"/>
        <w:gridCol w:w="140"/>
        <w:gridCol w:w="140"/>
        <w:gridCol w:w="950"/>
        <w:gridCol w:w="140"/>
        <w:gridCol w:w="140"/>
        <w:gridCol w:w="950"/>
        <w:gridCol w:w="140"/>
        <w:gridCol w:w="140"/>
        <w:gridCol w:w="950"/>
        <w:gridCol w:w="140"/>
        <w:gridCol w:w="140"/>
        <w:gridCol w:w="950"/>
        <w:gridCol w:w="140"/>
        <w:gridCol w:w="140"/>
        <w:gridCol w:w="965"/>
      </w:tblGrid>
      <w:tr>
        <w:trPr/>
        <w:tc>
          <w:tcPr>
            <w:tcW w:w="28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5" w:type="dxa"/>
            <w:gridSpan w:val="16"/>
            <w:tcBorders/>
            <w:vAlign w:val="center"/>
          </w:tcPr>
          <w:p>
            <w:pPr>
              <w:pStyle w:val="TableContents"/>
              <w:bidi w:val="0"/>
              <w:spacing w:before="0" w:after="0"/>
              <w:jc w:val="left"/>
              <w:rPr/>
            </w:pPr>
            <w:r>
              <w:rPr/>
              <w:t>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15" w:type="dxa"/>
            <w:gridSpan w:val="16"/>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September 30,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1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5"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28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Point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Over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Point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Over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2810"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Revenue from contracts with customers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Brokerage and commission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left"/>
              <w:rPr>
                <w:sz w:val="4"/>
                <w:szCs w:val="4"/>
              </w:rPr>
            </w:pPr>
            <w:r>
              <w:rPr>
                <w:sz w:val="4"/>
                <w:szCs w:val="4"/>
              </w:rPr>
            </w:r>
          </w:p>
        </w:tc>
      </w:tr>
      <w:tr>
        <w:trPr/>
        <w:tc>
          <w:tcPr>
            <w:tcW w:w="281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Brokerage commission and handling charge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$2,709,354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$2,709,354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$67,888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67,888 </w:t>
            </w:r>
          </w:p>
        </w:tc>
      </w:tr>
      <w:tr>
        <w:trPr/>
        <w:tc>
          <w:tcPr>
            <w:tcW w:w="281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Brokerage commission and handling charge income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1,390,497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80" w:right="0" w:hanging="0"/>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1,390,497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892,837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892,837</w:t>
            </w:r>
          </w:p>
        </w:tc>
      </w:tr>
      <w:tr>
        <w:trPr/>
        <w:tc>
          <w:tcPr>
            <w:tcW w:w="281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Bond distribution commission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65,534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65,534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328,659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328,659</w:t>
            </w:r>
          </w:p>
        </w:tc>
      </w:tr>
      <w:tr>
        <w:trPr/>
        <w:tc>
          <w:tcPr>
            <w:tcW w:w="2810" w:type="dxa"/>
            <w:tcBorders/>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 xml:space="preserve">Margin financing services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center"/>
              <w:rPr>
                <w:color w:val="000000"/>
              </w:rPr>
            </w:pPr>
            <w:r>
              <w:rPr>
                <w:color w:val="000000"/>
              </w:rPr>
              <w:t> </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507,872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507,872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2,562</w:t>
            </w:r>
          </w:p>
        </w:tc>
      </w:tr>
      <w:tr>
        <w:trPr/>
        <w:tc>
          <w:tcPr>
            <w:tcW w:w="281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Interest income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452,808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452,808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520,183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520,183</w:t>
            </w:r>
          </w:p>
        </w:tc>
      </w:tr>
      <w:tr>
        <w:trPr/>
        <w:tc>
          <w:tcPr>
            <w:tcW w:w="2810" w:type="dxa"/>
            <w:tcBorders/>
            <w:shd w:fill="CCEEFF" w:val="clear"/>
            <w:vAlign w:val="center"/>
          </w:tcPr>
          <w:p>
            <w:pPr>
              <w:pStyle w:val="TableContents"/>
              <w:bidi w:val="0"/>
              <w:spacing w:before="0" w:after="0"/>
              <w:ind w:left="180" w:right="0" w:hanging="18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z w:val="20"/>
              </w:rPr>
              <w:t>Software licensing (including subscription based) and related support services</w:t>
            </w:r>
            <w:r>
              <w:rPr>
                <w:rFonts w:ascii="Times New Roman;Times;serif" w:hAnsi="Times New Roman;Times;serif"/>
                <w:b w:val="false"/>
                <w:i w:val="false"/>
                <w:caps w:val="false"/>
                <w:smallCaps w:val="false"/>
                <w:color w:val="000000"/>
                <w:sz w:val="20"/>
              </w:rPr>
              <w:t xml:space="preserve">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center"/>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 </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Software license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61,498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61,498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500,000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M&amp;S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46,134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46,134</w:t>
            </w:r>
          </w:p>
        </w:tc>
      </w:tr>
      <w:tr>
        <w:trPr/>
        <w:tc>
          <w:tcPr>
            <w:tcW w:w="28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M&amp;S – related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400,000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600,000</w:t>
            </w:r>
          </w:p>
        </w:tc>
      </w:tr>
      <w:tr>
        <w:trPr/>
        <w:tc>
          <w:tcPr>
            <w:tcW w:w="2810" w:type="dxa"/>
            <w:tcBorders/>
            <w:shd w:fill="CCEEFF" w:val="clear"/>
            <w:vAlign w:val="center"/>
          </w:tcPr>
          <w:p>
            <w:pPr>
              <w:pStyle w:val="TableContents"/>
              <w:bidi w:val="0"/>
              <w:spacing w:before="0" w:after="283"/>
              <w:ind w:left="200" w:right="0" w:hanging="200"/>
              <w:jc w:val="left"/>
              <w:rPr>
                <w:rFonts w:ascii="Times New Roman;Times;serif" w:hAnsi="Times New Roman;Times;serif"/>
                <w:b/>
                <w:color w:val="000000"/>
                <w:sz w:val="20"/>
              </w:rPr>
            </w:pPr>
            <w:r>
              <w:rPr>
                <w:rFonts w:ascii="Times New Roman;Times;serif" w:hAnsi="Times New Roman;Times;serif"/>
                <w:b/>
                <w:color w:val="000000"/>
                <w:sz w:val="20"/>
              </w:rPr>
              <w:t xml:space="preserve">Other sources of revenue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center"/>
              <w:rPr>
                <w:color w:val="000000"/>
              </w:rPr>
            </w:pPr>
            <w:r>
              <w:rPr>
                <w:color w:val="000000"/>
              </w:rPr>
              <w:t> </w:t>
            </w:r>
          </w:p>
        </w:tc>
      </w:tr>
      <w:tr>
        <w:trPr/>
        <w:tc>
          <w:tcPr>
            <w:tcW w:w="281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Principal transactions &amp; proprietary trading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315,337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315,337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r>
      <w:tr>
        <w:trPr/>
        <w:tc>
          <w:tcPr>
            <w:tcW w:w="28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$4,165,385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$1,937,515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$6,102,900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$1,789,384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$1,168,879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$2,958,263</w:t>
            </w:r>
          </w:p>
        </w:tc>
      </w:tr>
      <w:tr>
        <w:trPr/>
        <w:tc>
          <w:tcPr>
            <w:tcW w:w="28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bl>
    <w:p>
      <w:pPr>
        <w:pStyle w:val="TextBody"/>
        <w:bidi w:val="0"/>
        <w:spacing w:before="265" w:after="20"/>
        <w:ind w:left="400" w:right="0" w:hanging="0"/>
        <w:jc w:val="left"/>
        <w:rPr>
          <w:bdr w:val="single" w:sz="8" w:space="1" w:color="000000"/>
        </w:rPr>
      </w:pPr>
      <w:r>
        <w:rPr>
          <w:bdr w:val="single" w:sz="8" w:space="1" w:color="000000"/>
        </w:rPr>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Total handling charge income, including amounts from a related party, was $2,206,955 and $16,558 for the six months ended September 30, 2025 and 2024, respectively.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F-16</w:t>
      </w:r>
    </w:p>
    <w:p>
      <w:pPr>
        <w:pStyle w:val="HorizontalLine"/>
        <w:bidi w:val="0"/>
        <w:spacing w:before="200" w:after="200"/>
        <w:jc w:val="left"/>
        <w:rPr/>
      </w:pPr>
      <w:r>
        <w:rPr/>
      </w:r>
    </w:p>
    <w:p>
      <w:pPr>
        <w:pStyle w:val="TextBody"/>
        <w:bidi w:val="0"/>
        <w:jc w:val="left"/>
        <w:rPr/>
      </w:pPr>
      <w:hyperlink w:anchor="TOC">
        <w:bookmarkStart w:id="111" w:name="ny20053887x8_posam_202-finnotes_pg11"/>
        <w:bookmarkEnd w:id="11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tbl>
      <w:tblPr>
        <w:tblW w:w="3445" w:type="dxa"/>
        <w:jc w:val="left"/>
        <w:tblInd w:w="0" w:type="dxa"/>
        <w:tblLayout w:type="fixed"/>
        <w:tblCellMar>
          <w:top w:w="0" w:type="dxa"/>
          <w:left w:w="0" w:type="dxa"/>
          <w:bottom w:w="0" w:type="dxa"/>
          <w:right w:w="0" w:type="dxa"/>
        </w:tblCellMar>
      </w:tblPr>
      <w:tblGrid>
        <w:gridCol w:w="170"/>
        <w:gridCol w:w="327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3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TRANSACTIONS </w:t>
            </w:r>
          </w:p>
        </w:tc>
      </w:tr>
    </w:tbl>
    <w:p>
      <w:pPr>
        <w:pStyle w:val="TextBody"/>
        <w:bidi w:val="0"/>
        <w:spacing w:before="14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table below sets forth major related parties of the Group and their relationships with the Group.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1842"/>
        <w:gridCol w:w="140"/>
        <w:gridCol w:w="140"/>
        <w:gridCol w:w="8083"/>
      </w:tblGrid>
      <w:tr>
        <w:trPr/>
        <w:tc>
          <w:tcPr>
            <w:tcW w:w="18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3" w:type="dxa"/>
            <w:tcBorders/>
            <w:vAlign w:val="center"/>
          </w:tcPr>
          <w:p>
            <w:pPr>
              <w:pStyle w:val="TableContents"/>
              <w:bidi w:val="0"/>
              <w:spacing w:before="0" w:after="0"/>
              <w:jc w:val="left"/>
              <w:rPr/>
            </w:pPr>
            <w:r>
              <w:rPr/>
              <w:t> </w:t>
            </w:r>
          </w:p>
        </w:tc>
      </w:tr>
      <w:tr>
        <w:trPr/>
        <w:tc>
          <w:tcPr>
            <w:tcW w:w="184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Names of related parties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3"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Relationship </w:t>
            </w:r>
          </w:p>
        </w:tc>
      </w:tr>
      <w:tr>
        <w:trPr/>
        <w:tc>
          <w:tcPr>
            <w:tcW w:w="18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Zhou Kai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Principal shareholder, chief technology officer, chairman of the board </w:t>
            </w:r>
          </w:p>
        </w:tc>
      </w:tr>
      <w:tr>
        <w:trPr/>
        <w:tc>
          <w:tcPr>
            <w:tcW w:w="18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3" w:type="dxa"/>
            <w:tcBorders/>
            <w:vAlign w:val="center"/>
          </w:tcPr>
          <w:p>
            <w:pPr>
              <w:pStyle w:val="TableContents"/>
              <w:bidi w:val="0"/>
              <w:spacing w:before="0" w:after="0"/>
              <w:jc w:val="left"/>
              <w:rPr>
                <w:color w:val="000000"/>
              </w:rPr>
            </w:pPr>
            <w:r>
              <w:rPr>
                <w:color w:val="000000"/>
              </w:rPr>
              <w:t> </w:t>
            </w:r>
          </w:p>
        </w:tc>
      </w:tr>
      <w:tr>
        <w:trPr/>
        <w:tc>
          <w:tcPr>
            <w:tcW w:w="1842"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Shenzhen Jinhui Technology Co., Ltd. (“Shenzhen Jinhui”)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company previously controlled by Zhou Kai, which ceased to be a related party in the fourth quarter in 2025. </w:t>
            </w:r>
          </w:p>
        </w:tc>
      </w:tr>
      <w:tr>
        <w:trPr/>
        <w:tc>
          <w:tcPr>
            <w:tcW w:w="18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3" w:type="dxa"/>
            <w:tcBorders/>
            <w:vAlign w:val="center"/>
          </w:tcPr>
          <w:p>
            <w:pPr>
              <w:pStyle w:val="TableContents"/>
              <w:bidi w:val="0"/>
              <w:spacing w:before="0" w:after="0"/>
              <w:jc w:val="left"/>
              <w:rPr>
                <w:color w:val="000000"/>
              </w:rPr>
            </w:pPr>
            <w:r>
              <w:rPr>
                <w:color w:val="000000"/>
              </w:rPr>
              <w:t> </w:t>
            </w:r>
          </w:p>
        </w:tc>
      </w:tr>
      <w:tr>
        <w:trPr/>
        <w:tc>
          <w:tcPr>
            <w:tcW w:w="18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Wealth Guardian Investment Limited (“WGI”)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Group is able to exercise significant influence over WGI because two individuals, who are the senior management of WGI, are the shareholders of the Company holding more than or approximately 10% aggregate equity interests for the six months ended September 30, 2025.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October 2025, WGI has dissolved investment accounts in WSI, therefore, WGI is no longer a customer of WSI after October 2025.</w:t>
            </w:r>
          </w:p>
        </w:tc>
      </w:tr>
      <w:tr>
        <w:trPr/>
        <w:tc>
          <w:tcPr>
            <w:tcW w:w="18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3" w:type="dxa"/>
            <w:tcBorders/>
            <w:vAlign w:val="center"/>
          </w:tcPr>
          <w:p>
            <w:pPr>
              <w:pStyle w:val="TableContents"/>
              <w:bidi w:val="0"/>
              <w:spacing w:before="0" w:after="0"/>
              <w:jc w:val="left"/>
              <w:rPr>
                <w:color w:val="000000"/>
              </w:rPr>
            </w:pPr>
            <w:r>
              <w:rPr>
                <w:color w:val="000000"/>
              </w:rPr>
              <w:t> </w:t>
            </w:r>
          </w:p>
        </w:tc>
      </w:tr>
      <w:tr>
        <w:trPr/>
        <w:tc>
          <w:tcPr>
            <w:tcW w:w="18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Waton Trust Limited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 entity where Zhou Kai previously acted as a director. In the third quarter of 2025, Zhou Kai resigned from the directorship and remained as a 20% shareholder.</w:t>
            </w:r>
          </w:p>
        </w:tc>
      </w:tr>
      <w:tr>
        <w:trPr/>
        <w:tc>
          <w:tcPr>
            <w:tcW w:w="184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3" w:type="dxa"/>
            <w:tcBorders/>
            <w:vAlign w:val="center"/>
          </w:tcPr>
          <w:p>
            <w:pPr>
              <w:pStyle w:val="TableContents"/>
              <w:bidi w:val="0"/>
              <w:spacing w:before="0" w:after="0"/>
              <w:jc w:val="left"/>
              <w:rPr>
                <w:color w:val="000000"/>
              </w:rPr>
            </w:pPr>
            <w:r>
              <w:rPr>
                <w:color w:val="000000"/>
              </w:rPr>
              <w:t> </w:t>
            </w:r>
          </w:p>
        </w:tc>
      </w:tr>
      <w:tr>
        <w:trPr/>
        <w:tc>
          <w:tcPr>
            <w:tcW w:w="184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WIG SPC-SPs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3" w:type="dxa"/>
            <w:tcBorders/>
            <w:vAlign w:val="center"/>
          </w:tcPr>
          <w:p>
            <w:pPr>
              <w:pStyle w:val="TableContents"/>
              <w:widowControl/>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 entity incorporated in the Cayman Islands, with 100% of its issued management shares owned by WSI, established for the purpose of holding investment segregated portfolios (each, an “SP” and collectively, the “SPs”). The SPs are each formed for the purpose of investing in securities and are owned by different investors. Effective December 2024, WSI serves as the investment manager of the WIG SPC series SPs. During the six months ended September 30, 2025, there was no management income incurred, and WSI was subsequently re-appointed as a </w:t>
            </w:r>
            <w:r>
              <w:rPr>
                <w:rFonts w:ascii="Times New Roman;Times;serif" w:hAnsi="Times New Roman;Times;serif"/>
                <w:b w:val="false"/>
                <w:i w:val="false"/>
                <w:caps w:val="false"/>
                <w:smallCaps w:val="false"/>
                <w:color w:val="000000"/>
                <w:spacing w:val="0"/>
                <w:sz w:val="20"/>
              </w:rPr>
              <w:t>co-inv</w:t>
            </w:r>
            <w:r>
              <w:rPr>
                <w:rFonts w:ascii="Times New Roman;Times;serif" w:hAnsi="Times New Roman;Times;serif"/>
                <w:color w:val="000000"/>
                <w:sz w:val="20"/>
              </w:rPr>
              <w:t>estment manager for Z Navigation Option.</w:t>
            </w:r>
          </w:p>
        </w:tc>
      </w:tr>
      <w:tr>
        <w:trPr/>
        <w:tc>
          <w:tcPr>
            <w:tcW w:w="18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83" w:type="dxa"/>
            <w:tcBorders/>
            <w:vAlign w:val="center"/>
          </w:tcPr>
          <w:p>
            <w:pPr>
              <w:pStyle w:val="TableContents"/>
              <w:bidi w:val="0"/>
              <w:spacing w:before="0" w:after="0"/>
              <w:jc w:val="left"/>
              <w:rPr/>
            </w:pPr>
            <w:r>
              <w:rPr/>
              <w:t> </w:t>
            </w:r>
          </w:p>
        </w:tc>
      </w:tr>
    </w:tbl>
    <w:p>
      <w:pPr>
        <w:pStyle w:val="TextBody"/>
        <w:bidi w:val="0"/>
        <w:spacing w:before="27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Transactions with WGI</w:t>
      </w:r>
      <w:r>
        <w:rPr>
          <w:rFonts w:ascii="Times New Roman;Times;serif" w:hAnsi="Times New Roman;Times;serif"/>
          <w:color w:val="000000"/>
          <w:sz w:val="20"/>
          <w:shd w:fill="FFFFFF" w:val="clear"/>
        </w:rPr>
        <w:t xml:space="preserve">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Group conducts material transactions with WGI through WSI and/or WTI, which entities are service providers for WGI. These transactions and related balances are as follows: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7418"/>
        <w:gridCol w:w="140"/>
        <w:gridCol w:w="140"/>
        <w:gridCol w:w="1098"/>
        <w:gridCol w:w="140"/>
        <w:gridCol w:w="140"/>
        <w:gridCol w:w="1129"/>
      </w:tblGrid>
      <w:tr>
        <w:trPr/>
        <w:tc>
          <w:tcPr>
            <w:tcW w:w="741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07" w:type="dxa"/>
            <w:gridSpan w:val="4"/>
            <w:tcBorders/>
            <w:vAlign w:val="center"/>
          </w:tcPr>
          <w:p>
            <w:pPr>
              <w:pStyle w:val="TableContents"/>
              <w:bidi w:val="0"/>
              <w:spacing w:before="0" w:after="0"/>
              <w:jc w:val="left"/>
              <w:rPr/>
            </w:pPr>
            <w:r>
              <w:rPr/>
              <w:t> </w:t>
            </w:r>
          </w:p>
        </w:tc>
      </w:tr>
      <w:tr>
        <w:trPr/>
        <w:tc>
          <w:tcPr>
            <w:tcW w:w="74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07" w:type="dxa"/>
            <w:gridSpan w:val="4"/>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tc>
      </w:tr>
      <w:tr>
        <w:trPr/>
        <w:tc>
          <w:tcPr>
            <w:tcW w:w="741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8"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9"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741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 clients – unsettled trade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8"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0" w:right="0" w:hanging="0"/>
              <w:jc w:val="left"/>
              <w:rPr>
                <w:color w:val="000000"/>
              </w:rPr>
            </w:pPr>
            <w:r>
              <w:rPr>
                <w:color w:val="000000"/>
              </w:rPr>
              <w:t> </w:t>
            </w:r>
            <w:r>
              <w:rPr>
                <w:rFonts w:ascii="Times New Roman;Times;serif" w:hAnsi="Times New Roman;Times;serif"/>
                <w:color w:val="000000"/>
                <w:sz w:val="20"/>
              </w:rPr>
              <w:t xml:space="preserve">$1,549,709 </w:t>
            </w:r>
          </w:p>
        </w:tc>
      </w:tr>
      <w:tr>
        <w:trPr/>
        <w:tc>
          <w:tcPr>
            <w:tcW w:w="741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 clients – margin loan (net)</w:t>
            </w:r>
            <w:r>
              <w:rPr>
                <w:rFonts w:ascii="Times New Roman;Times;serif" w:hAnsi="Times New Roman;Times;serif"/>
                <w:color w:val="000000"/>
                <w:position w:val="7"/>
                <w:sz w:val="16"/>
                <w:sz w:val="20"/>
              </w:rPr>
              <w:t>(i)(ii)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283"/>
              <w:ind w:left="44" w:right="0" w:hanging="0"/>
              <w:jc w:val="left"/>
              <w:rPr>
                <w:rFonts w:ascii="Times New Roman;Times;serif" w:hAnsi="Times New Roman;Times;serif"/>
                <w:color w:val="000000"/>
                <w:sz w:val="20"/>
              </w:rPr>
            </w:pPr>
            <w:r>
              <w:rPr>
                <w:rFonts w:ascii="Times New Roman;Times;serif" w:hAnsi="Times New Roman;Times;serif"/>
                <w:color w:val="000000"/>
                <w:sz w:val="20"/>
              </w:rPr>
              <w:t>349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3,276,678 </w:t>
            </w:r>
          </w:p>
        </w:tc>
      </w:tr>
      <w:tr>
        <w:trPr/>
        <w:tc>
          <w:tcPr>
            <w:tcW w:w="7418"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Receivables – software licensing (including subscription based) and related support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8"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600,000 </w:t>
            </w:r>
          </w:p>
        </w:tc>
      </w:tr>
      <w:tr>
        <w:trPr/>
        <w:tc>
          <w:tcPr>
            <w:tcW w:w="741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29"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F-17</w:t>
      </w:r>
    </w:p>
    <w:p>
      <w:pPr>
        <w:pStyle w:val="HorizontalLine"/>
        <w:bidi w:val="0"/>
        <w:spacing w:before="200" w:after="200"/>
        <w:jc w:val="left"/>
        <w:rPr/>
      </w:pPr>
      <w:r>
        <w:rPr/>
      </w:r>
    </w:p>
    <w:p>
      <w:pPr>
        <w:pStyle w:val="TextBody"/>
        <w:bidi w:val="0"/>
        <w:jc w:val="left"/>
        <w:rPr/>
      </w:pPr>
      <w:hyperlink w:anchor="TOC">
        <w:bookmarkStart w:id="112" w:name="ny20053887x8_posam_202-finnotes_pg12"/>
        <w:bookmarkEnd w:id="11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tbl>
      <w:tblPr>
        <w:tblW w:w="5120" w:type="dxa"/>
        <w:jc w:val="left"/>
        <w:tblInd w:w="0" w:type="dxa"/>
        <w:tblLayout w:type="fixed"/>
        <w:tblCellMar>
          <w:top w:w="0" w:type="dxa"/>
          <w:left w:w="0" w:type="dxa"/>
          <w:bottom w:w="0" w:type="dxa"/>
          <w:right w:w="0" w:type="dxa"/>
        </w:tblCellMar>
      </w:tblPr>
      <w:tblGrid>
        <w:gridCol w:w="2450"/>
        <w:gridCol w:w="140"/>
        <w:gridCol w:w="140"/>
        <w:gridCol w:w="1100"/>
        <w:gridCol w:w="140"/>
        <w:gridCol w:w="140"/>
        <w:gridCol w:w="1010"/>
      </w:tblGrid>
      <w:tr>
        <w:trPr/>
        <w:tc>
          <w:tcPr>
            <w:tcW w:w="24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4"/>
            <w:tcBorders/>
            <w:vAlign w:val="center"/>
          </w:tcPr>
          <w:p>
            <w:pPr>
              <w:pStyle w:val="TableContents"/>
              <w:bidi w:val="0"/>
              <w:spacing w:before="0" w:after="0"/>
              <w:jc w:val="left"/>
              <w:rPr/>
            </w:pPr>
            <w:r>
              <w:rPr/>
              <w:t> </w:t>
            </w:r>
          </w:p>
        </w:tc>
      </w:tr>
      <w:tr>
        <w:trPr/>
        <w:tc>
          <w:tcPr>
            <w:tcW w:w="24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90" w:type="dxa"/>
            <w:gridSpan w:val="4"/>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tc>
      </w:tr>
      <w:tr>
        <w:trPr/>
        <w:tc>
          <w:tcPr>
            <w:tcW w:w="24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4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 Total</w:t>
            </w:r>
            <w:r>
              <w:rPr>
                <w:rFonts w:ascii="Times New Roman;Times;serif" w:hAnsi="Times New Roman;Times;serif"/>
                <w:color w:val="000000"/>
                <w:position w:val="7"/>
                <w:sz w:val="16"/>
                <w:sz w:val="20"/>
              </w:rPr>
              <w:t>(iii)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$1,800,349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$5,426,387 </w:t>
            </w:r>
          </w:p>
        </w:tc>
      </w:tr>
      <w:tr>
        <w:trPr/>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Contract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4" w:right="0" w:hanging="0"/>
              <w:jc w:val="left"/>
              <w:rPr>
                <w:rFonts w:ascii="Times New Roman;Times;serif" w:hAnsi="Times New Roman;Times;serif"/>
                <w:color w:val="000000"/>
                <w:sz w:val="20"/>
              </w:rPr>
            </w:pPr>
            <w:r>
              <w:rPr>
                <w:rFonts w:ascii="Times New Roman;Times;serif" w:hAnsi="Times New Roman;Times;serif"/>
                <w:color w:val="000000"/>
                <w:sz w:val="20"/>
              </w:rPr>
              <w:t>400,000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1,200,000</w:t>
            </w:r>
          </w:p>
        </w:tc>
      </w:tr>
      <w:tr>
        <w:trPr/>
        <w:tc>
          <w:tcPr>
            <w:tcW w:w="24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Payables – brokerage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40,745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$1,417,153 </w:t>
            </w:r>
          </w:p>
        </w:tc>
      </w:tr>
      <w:tr>
        <w:trPr/>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Payables – Broker-dealer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4" w:right="0" w:hanging="0"/>
              <w:jc w:val="left"/>
              <w:rPr>
                <w:color w:val="000000"/>
                <w:bdr w:val="single" w:sz="8" w:space="2" w:color="000000"/>
              </w:rPr>
            </w:pPr>
            <w:r>
              <w:rPr>
                <w:color w:val="000000"/>
                <w:bdr w:val="single" w:sz="8" w:space="2" w:color="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75,136</w:t>
            </w:r>
          </w:p>
        </w:tc>
      </w:tr>
      <w:tr>
        <w:trPr/>
        <w:tc>
          <w:tcPr>
            <w:tcW w:w="24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Payables – 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44"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$40,745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$1,492,289</w:t>
            </w:r>
          </w:p>
        </w:tc>
      </w:tr>
    </w:tbl>
    <w:p>
      <w:pPr>
        <w:pStyle w:val="TextBody"/>
        <w:bidi w:val="0"/>
        <w:spacing w:before="195" w:after="20"/>
        <w:ind w:left="400" w:right="0" w:hanging="0"/>
        <w:jc w:val="left"/>
        <w:rPr>
          <w:bdr w:val="single" w:sz="8" w:space="1" w:color="000000"/>
        </w:rPr>
      </w:pPr>
      <w:r>
        <w:rPr>
          <w:bdr w:val="single" w:sz="8" w:space="1" w:color="000000"/>
        </w:rPr>
      </w:r>
    </w:p>
    <w:tbl>
      <w:tblPr>
        <w:tblW w:w="10135" w:type="dxa"/>
        <w:jc w:val="left"/>
        <w:tblInd w:w="0" w:type="dxa"/>
        <w:tblLayout w:type="fixed"/>
        <w:tblCellMar>
          <w:top w:w="0" w:type="dxa"/>
          <w:left w:w="0" w:type="dxa"/>
          <w:bottom w:w="0" w:type="dxa"/>
          <w:right w:w="0" w:type="dxa"/>
        </w:tblCellMar>
      </w:tblPr>
      <w:tblGrid>
        <w:gridCol w:w="185"/>
        <w:gridCol w:w="995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w:t>
            </w:r>
          </w:p>
        </w:tc>
        <w:tc>
          <w:tcPr>
            <w:tcW w:w="995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WSI extended a credit line of nil and $4.3 million to WGI for margin transactions during the six months ended September 30, 2025 and 2024.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(ii)</w:t>
            </w:r>
          </w:p>
        </w:tc>
        <w:tc>
          <w:tcPr>
            <w:tcW w:w="99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September 30, 2025 and March 31, 2025, the amounts consisted of margin loan receivables of nil and $3.5 million, net of client payables of nil and $0.2 million, respectively.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(iii)</w:t>
            </w:r>
          </w:p>
        </w:tc>
        <w:tc>
          <w:tcPr>
            <w:tcW w:w="995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of September 30, 2025 and March 31, 2025, receivables from this customer, including margin loan receivables, have been either fully collateralized by the client-owned securities held in the customer’s account or fully collected.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9785" w:type="dxa"/>
        <w:jc w:val="left"/>
        <w:tblInd w:w="0" w:type="dxa"/>
        <w:tblLayout w:type="fixed"/>
        <w:tblCellMar>
          <w:top w:w="0" w:type="dxa"/>
          <w:left w:w="0" w:type="dxa"/>
          <w:bottom w:w="0" w:type="dxa"/>
          <w:right w:w="0" w:type="dxa"/>
        </w:tblCellMar>
      </w:tblPr>
      <w:tblGrid>
        <w:gridCol w:w="7310"/>
        <w:gridCol w:w="140"/>
        <w:gridCol w:w="140"/>
        <w:gridCol w:w="950"/>
        <w:gridCol w:w="140"/>
        <w:gridCol w:w="140"/>
        <w:gridCol w:w="965"/>
      </w:tblGrid>
      <w:tr>
        <w:trPr/>
        <w:tc>
          <w:tcPr>
            <w:tcW w:w="7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9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tc>
      </w:tr>
      <w:tr>
        <w:trPr/>
        <w:tc>
          <w:tcPr>
            <w:tcW w:w="7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73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 – brokerage commission and handling charge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$1,388,432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892,837 </w:t>
            </w:r>
          </w:p>
        </w:tc>
      </w:tr>
      <w:tr>
        <w:trPr/>
        <w:tc>
          <w:tcPr>
            <w:tcW w:w="7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 –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446,360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520,183</w:t>
            </w:r>
          </w:p>
        </w:tc>
      </w:tr>
      <w:tr>
        <w:trPr/>
        <w:tc>
          <w:tcPr>
            <w:tcW w:w="731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Revenues – software licensing (including subscription based) and related support services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400,000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600,000</w:t>
            </w:r>
          </w:p>
        </w:tc>
      </w:tr>
      <w:tr>
        <w:trPr/>
        <w:tc>
          <w:tcPr>
            <w:tcW w:w="73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$2,234,792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$2,013,020</w:t>
            </w:r>
          </w:p>
        </w:tc>
      </w:tr>
      <w:tr>
        <w:trPr/>
        <w:tc>
          <w:tcPr>
            <w:tcW w:w="7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the six months ended September 30, 2025 and 2024, the Group recognized software licensing and related support services revenue of $400,000 and $600,000, respectively, before invoicing to WGI. The amount was recorded under contract assets – related party in the unaudited condensed consolidated balance sheets.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Effective October 2025, WGI has dissolved investment accounts in the Group, therefore, WGI is no longer a customer of the Group after October 2025. </w:t>
      </w:r>
    </w:p>
    <w:p>
      <w:pPr>
        <w:pStyle w:val="TextBody"/>
        <w:bidi w:val="0"/>
        <w:spacing w:before="28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Transactions with Zhou Kai</w:t>
      </w:r>
      <w:r>
        <w:rPr>
          <w:rFonts w:ascii="Times New Roman;Times;serif" w:hAnsi="Times New Roman;Times;serif"/>
          <w:color w:val="000000"/>
          <w:sz w:val="20"/>
          <w:shd w:fill="FFFFFF" w:val="clear"/>
        </w:rPr>
        <w:t xml:space="preserve">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Group conducts transactions with Zhou Kai through WSI. These transactions and related balance are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5420" w:type="dxa"/>
        <w:jc w:val="left"/>
        <w:tblInd w:w="0" w:type="dxa"/>
        <w:tblLayout w:type="fixed"/>
        <w:tblCellMar>
          <w:top w:w="0" w:type="dxa"/>
          <w:left w:w="0" w:type="dxa"/>
          <w:bottom w:w="0" w:type="dxa"/>
          <w:right w:w="0" w:type="dxa"/>
        </w:tblCellMar>
      </w:tblPr>
      <w:tblGrid>
        <w:gridCol w:w="2930"/>
        <w:gridCol w:w="140"/>
        <w:gridCol w:w="140"/>
        <w:gridCol w:w="1100"/>
        <w:gridCol w:w="140"/>
        <w:gridCol w:w="140"/>
        <w:gridCol w:w="830"/>
      </w:tblGrid>
      <w:tr>
        <w:trPr/>
        <w:tc>
          <w:tcPr>
            <w:tcW w:w="29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gridSpan w:val="4"/>
            <w:tcBorders/>
            <w:vAlign w:val="center"/>
          </w:tcPr>
          <w:p>
            <w:pPr>
              <w:pStyle w:val="TableContents"/>
              <w:bidi w:val="0"/>
              <w:spacing w:before="0" w:after="0"/>
              <w:jc w:val="left"/>
              <w:rPr/>
            </w:pPr>
            <w:r>
              <w:rPr/>
              <w:t>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1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tc>
      </w:tr>
      <w:tr>
        <w:trPr/>
        <w:tc>
          <w:tcPr>
            <w:tcW w:w="29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Receivables – clients – margin loan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219"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$2,839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20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rPr/>
        <w:tc>
          <w:tcPr>
            <w:tcW w:w="29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7383" w:type="dxa"/>
        <w:jc w:val="left"/>
        <w:tblInd w:w="0" w:type="dxa"/>
        <w:tblLayout w:type="fixed"/>
        <w:tblCellMar>
          <w:top w:w="0" w:type="dxa"/>
          <w:left w:w="0" w:type="dxa"/>
          <w:bottom w:w="0" w:type="dxa"/>
          <w:right w:w="0" w:type="dxa"/>
        </w:tblCellMar>
      </w:tblPr>
      <w:tblGrid>
        <w:gridCol w:w="5210"/>
        <w:gridCol w:w="140"/>
        <w:gridCol w:w="140"/>
        <w:gridCol w:w="853"/>
        <w:gridCol w:w="202"/>
        <w:gridCol w:w="202"/>
        <w:gridCol w:w="636"/>
      </w:tblGrid>
      <w:tr>
        <w:trPr/>
        <w:tc>
          <w:tcPr>
            <w:tcW w:w="52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3" w:type="dxa"/>
            <w:gridSpan w:val="4"/>
            <w:tcBorders/>
            <w:vAlign w:val="center"/>
          </w:tcPr>
          <w:p>
            <w:pPr>
              <w:pStyle w:val="TableContents"/>
              <w:bidi w:val="0"/>
              <w:spacing w:before="0" w:after="0"/>
              <w:jc w:val="left"/>
              <w:rPr/>
            </w:pPr>
            <w:r>
              <w:rPr/>
              <w:t> </w:t>
            </w:r>
          </w:p>
        </w:tc>
      </w:tr>
      <w:tr>
        <w:trPr/>
        <w:tc>
          <w:tcPr>
            <w:tcW w:w="5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tc>
      </w:tr>
      <w:tr>
        <w:trPr/>
        <w:tc>
          <w:tcPr>
            <w:tcW w:w="52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6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5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 – brokerage commission and handling charge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3"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rPr>
            </w:pPr>
            <w:r>
              <w:rPr>
                <w:rFonts w:ascii="Times New Roman;Times;serif" w:hAnsi="Times New Roman;Times;serif"/>
                <w:color w:val="000000"/>
                <w:sz w:val="20"/>
              </w:rPr>
              <w:t>$2,065</w:t>
            </w:r>
          </w:p>
        </w:tc>
        <w:tc>
          <w:tcPr>
            <w:tcW w:w="202" w:type="dxa"/>
            <w:tcBorders/>
            <w:shd w:fill="CCEEFF" w:val="clear"/>
            <w:vAlign w:val="center"/>
          </w:tcPr>
          <w:p>
            <w:pPr>
              <w:pStyle w:val="TableContents"/>
              <w:bidi w:val="0"/>
              <w:spacing w:before="0" w:after="0"/>
              <w:jc w:val="left"/>
              <w:rPr/>
            </w:pPr>
            <w:r>
              <w:rPr/>
              <w:t> </w:t>
            </w:r>
          </w:p>
        </w:tc>
        <w:tc>
          <w:tcPr>
            <w:tcW w:w="202"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2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Revenues – 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 w:type="dxa"/>
            <w:tcBorders/>
            <w:vAlign w:val="center"/>
          </w:tcPr>
          <w:p>
            <w:pPr>
              <w:pStyle w:val="TableContents"/>
              <w:bidi w:val="0"/>
              <w:spacing w:before="0" w:after="283"/>
              <w:ind w:left="19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6,448</w:t>
            </w:r>
          </w:p>
        </w:tc>
        <w:tc>
          <w:tcPr>
            <w:tcW w:w="202" w:type="dxa"/>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206" w:right="0" w:hanging="0"/>
              <w:jc w:val="left"/>
              <w:rPr>
                <w:color w:val="000000"/>
                <w:bdr w:val="single" w:sz="8" w:space="2" w:color="000000"/>
              </w:rPr>
            </w:pPr>
            <w:r>
              <w:rPr>
                <w:color w:val="000000"/>
                <w:bdr w:val="single" w:sz="8" w:space="2" w:color="000000"/>
              </w:rPr>
              <w:t xml:space="preserve">— </w:t>
            </w:r>
          </w:p>
        </w:tc>
      </w:tr>
      <w:tr>
        <w:trPr/>
        <w:tc>
          <w:tcPr>
            <w:tcW w:w="5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3" w:type="dxa"/>
            <w:tcBorders/>
            <w:shd w:fill="CCEEFF" w:val="clear"/>
            <w:vAlign w:val="center"/>
          </w:tcPr>
          <w:p>
            <w:pPr>
              <w:pStyle w:val="TableContents"/>
              <w:bidi w:val="0"/>
              <w:spacing w:before="0" w:after="283"/>
              <w:ind w:left="19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$8,513</w:t>
            </w:r>
          </w:p>
        </w:tc>
        <w:tc>
          <w:tcPr>
            <w:tcW w:w="202" w:type="dxa"/>
            <w:tcBorders/>
            <w:shd w:fill="CCEEFF" w:val="clear"/>
            <w:vAlign w:val="center"/>
          </w:tcPr>
          <w:p>
            <w:pPr>
              <w:pStyle w:val="TableContents"/>
              <w:bidi w:val="0"/>
              <w:spacing w:before="0" w:after="0"/>
              <w:jc w:val="left"/>
              <w:rPr/>
            </w:pPr>
            <w:r>
              <w:rPr/>
              <w:t> </w:t>
            </w:r>
          </w:p>
        </w:tc>
        <w:tc>
          <w:tcPr>
            <w:tcW w:w="202"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206"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w:t>
            </w:r>
          </w:p>
        </w:tc>
      </w:tr>
      <w:tr>
        <w:trPr/>
        <w:tc>
          <w:tcPr>
            <w:tcW w:w="521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53" w:type="dxa"/>
            <w:tcBorders/>
            <w:shd w:fill="CCEEFF" w:val="clear"/>
            <w:vAlign w:val="center"/>
          </w:tcPr>
          <w:p>
            <w:pPr>
              <w:pStyle w:val="TableContents"/>
              <w:bidi w:val="0"/>
              <w:spacing w:before="0" w:after="0"/>
              <w:jc w:val="left"/>
              <w:rPr/>
            </w:pPr>
            <w:r>
              <w:rPr/>
              <w:t> </w:t>
            </w:r>
          </w:p>
        </w:tc>
        <w:tc>
          <w:tcPr>
            <w:tcW w:w="202" w:type="dxa"/>
            <w:tcBorders/>
            <w:shd w:fill="CCEEFF" w:val="clear"/>
            <w:vAlign w:val="center"/>
          </w:tcPr>
          <w:p>
            <w:pPr>
              <w:pStyle w:val="TableContents"/>
              <w:bidi w:val="0"/>
              <w:spacing w:before="0" w:after="0"/>
              <w:jc w:val="left"/>
              <w:rPr/>
            </w:pPr>
            <w:r>
              <w:rPr/>
              <w:t> </w:t>
            </w:r>
          </w:p>
        </w:tc>
        <w:tc>
          <w:tcPr>
            <w:tcW w:w="202"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F-18</w:t>
      </w:r>
    </w:p>
    <w:p>
      <w:pPr>
        <w:pStyle w:val="HorizontalLine"/>
        <w:bidi w:val="0"/>
        <w:spacing w:before="200" w:after="200"/>
        <w:jc w:val="left"/>
        <w:rPr/>
      </w:pPr>
      <w:r>
        <w:rPr/>
      </w:r>
    </w:p>
    <w:p>
      <w:pPr>
        <w:pStyle w:val="TextBody"/>
        <w:bidi w:val="0"/>
        <w:jc w:val="left"/>
        <w:rPr/>
      </w:pPr>
      <w:hyperlink w:anchor="TOC">
        <w:bookmarkStart w:id="113" w:name="ny20053887x8_posam_202-finnotes_pg13"/>
        <w:bookmarkEnd w:id="11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p>
      <w:pPr>
        <w:pStyle w:val="TextBody"/>
        <w:bidi w:val="0"/>
        <w:spacing w:before="16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Due to related parties</w:t>
      </w:r>
      <w:r>
        <w:rPr>
          <w:rFonts w:ascii="Times New Roman;Times;serif" w:hAnsi="Times New Roman;Times;serif"/>
          <w:color w:val="000000"/>
          <w:sz w:val="20"/>
          <w:shd w:fill="FFFFFF" w:val="clear"/>
        </w:rPr>
        <w:t xml:space="preserv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5105" w:type="dxa"/>
        <w:jc w:val="left"/>
        <w:tblInd w:w="0" w:type="dxa"/>
        <w:tblLayout w:type="fixed"/>
        <w:tblCellMar>
          <w:top w:w="0" w:type="dxa"/>
          <w:left w:w="0" w:type="dxa"/>
          <w:bottom w:w="0" w:type="dxa"/>
          <w:right w:w="0" w:type="dxa"/>
        </w:tblCellMar>
      </w:tblPr>
      <w:tblGrid>
        <w:gridCol w:w="1850"/>
        <w:gridCol w:w="140"/>
        <w:gridCol w:w="140"/>
        <w:gridCol w:w="1460"/>
        <w:gridCol w:w="140"/>
        <w:gridCol w:w="140"/>
        <w:gridCol w:w="1235"/>
      </w:tblGrid>
      <w:tr>
        <w:trPr/>
        <w:tc>
          <w:tcPr>
            <w:tcW w:w="18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75" w:type="dxa"/>
            <w:gridSpan w:val="4"/>
            <w:tcBorders/>
            <w:vAlign w:val="center"/>
          </w:tcPr>
          <w:p>
            <w:pPr>
              <w:pStyle w:val="TableContents"/>
              <w:bidi w:val="0"/>
              <w:spacing w:before="0" w:after="0"/>
              <w:jc w:val="left"/>
              <w:rPr/>
            </w:pPr>
            <w:r>
              <w:rPr/>
              <w:t> </w:t>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7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tc>
      </w:tr>
      <w:tr>
        <w:trPr/>
        <w:tc>
          <w:tcPr>
            <w:tcW w:w="18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September 30, 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2025 </w:t>
            </w:r>
          </w:p>
        </w:tc>
      </w:tr>
      <w:tr>
        <w:trPr/>
        <w:tc>
          <w:tcPr>
            <w:tcW w:w="18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Zhou Kai</w:t>
            </w:r>
            <w:r>
              <w:rPr>
                <w:rFonts w:ascii="Times New Roman;Times;serif" w:hAnsi="Times New Roman;Times;serif"/>
                <w:color w:val="000000"/>
                <w:position w:val="7"/>
                <w:sz w:val="16"/>
                <w:sz w:val="20"/>
              </w:rPr>
              <w:t>(i)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23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12,505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31,682 </w:t>
            </w:r>
          </w:p>
        </w:tc>
      </w:tr>
      <w:tr>
        <w:trPr/>
        <w:tc>
          <w:tcPr>
            <w:tcW w:w="18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Shenzhen Jinhui</w:t>
            </w:r>
            <w:r>
              <w:rPr>
                <w:rFonts w:ascii="Times New Roman;Times;serif" w:hAnsi="Times New Roman;Times;serif"/>
                <w:color w:val="000000"/>
                <w:position w:val="7"/>
                <w:sz w:val="16"/>
                <w:sz w:val="20"/>
              </w:rPr>
              <w:t>(ii)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60" w:type="dxa"/>
            <w:tcBorders/>
            <w:vAlign w:val="center"/>
          </w:tcPr>
          <w:p>
            <w:pPr>
              <w:pStyle w:val="TableContents"/>
              <w:bidi w:val="0"/>
              <w:spacing w:before="0" w:after="283"/>
              <w:ind w:left="23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2,528,305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93"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 xml:space="preserve">1,766,092 </w:t>
            </w:r>
          </w:p>
        </w:tc>
      </w:tr>
      <w:tr>
        <w:trPr/>
        <w:tc>
          <w:tcPr>
            <w:tcW w:w="18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Due to related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283"/>
              <w:ind w:left="230"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$2,540,810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93" w:right="0" w:hanging="0"/>
              <w:jc w:val="left"/>
              <w:rPr>
                <w:rFonts w:ascii="Times New Roman;Times;serif" w:hAnsi="Times New Roman;Times;serif"/>
                <w:b/>
                <w:color w:val="000000"/>
                <w:sz w:val="20"/>
                <w:bdr w:val="double" w:sz="8" w:space="1" w:color="000000"/>
              </w:rPr>
            </w:pPr>
            <w:r>
              <w:rPr>
                <w:rFonts w:ascii="Times New Roman;Times;serif" w:hAnsi="Times New Roman;Times;serif"/>
                <w:b/>
                <w:color w:val="000000"/>
                <w:sz w:val="20"/>
                <w:bdr w:val="double" w:sz="8" w:space="1" w:color="000000"/>
              </w:rPr>
              <w:t>$1,797,774</w:t>
            </w:r>
          </w:p>
        </w:tc>
      </w:tr>
      <w:tr>
        <w:trPr/>
        <w:tc>
          <w:tcPr>
            <w:tcW w:w="18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0"/>
              <w:jc w:val="left"/>
              <w:rPr/>
            </w:pPr>
            <w:r>
              <w:rPr/>
              <w:t> </w:t>
            </w:r>
          </w:p>
        </w:tc>
      </w:tr>
    </w:tbl>
    <w:p>
      <w:pPr>
        <w:pStyle w:val="TextBody"/>
        <w:bidi w:val="0"/>
        <w:spacing w:before="265" w:after="20"/>
        <w:ind w:left="400" w:right="0" w:hanging="0"/>
        <w:jc w:val="left"/>
        <w:rPr>
          <w:bdr w:val="single" w:sz="8" w:space="1" w:color="000000"/>
        </w:rPr>
      </w:pPr>
      <w:r>
        <w:rPr>
          <w:bdr w:val="single" w:sz="8" w:space="1" w:color="000000"/>
        </w:rPr>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w:t>
            </w:r>
          </w:p>
        </w:tc>
        <w:tc>
          <w:tcPr>
            <w:tcW w:w="1006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balance represents borrowings from Zhou Kai for the Group’s daily operational purposes. The borrowings are interest-free, unsecured and due on demand. During the six months ended September 30, 2025 and 2024, there was no advances from Zhou Kai. During the six months ended September 30, 2025 and 2024, the Group repaid borrowings from Zhou Kai of nil and $1.8 million, respectively.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(ii)</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balance represents unpaid service fees to Shenzhen Jinhui, a service provider and sub-contractor of the Group’s project management services. Based on the services agreement, Shenzhen Jinhui charges the Group certain percents of markup above its costs relating to service provided to the Group. During the six months ended September 30, 2025 and 2024, the Group purchased outsourcing and related support services of approximately $0.7 million and $0.5 million, respectively, from Shenzhen Jinhui which were recorded as software licensing and related support outsourcing costs. </w:t>
            </w:r>
          </w:p>
        </w:tc>
      </w:tr>
    </w:tbl>
    <w:tbl>
      <w:tblPr>
        <w:tblW w:w="2065" w:type="dxa"/>
        <w:jc w:val="left"/>
        <w:tblInd w:w="0" w:type="dxa"/>
        <w:tblLayout w:type="fixed"/>
        <w:tblCellMar>
          <w:top w:w="0" w:type="dxa"/>
          <w:left w:w="0" w:type="dxa"/>
          <w:bottom w:w="0" w:type="dxa"/>
          <w:right w:w="0" w:type="dxa"/>
        </w:tblCellMar>
      </w:tblPr>
      <w:tblGrid>
        <w:gridCol w:w="170"/>
        <w:gridCol w:w="189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18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Equity Incentive Plan </w:t>
            </w:r>
          </w:p>
        </w:tc>
      </w:tr>
    </w:tbl>
    <w:p>
      <w:pPr>
        <w:pStyle w:val="TextBody"/>
        <w:bidi w:val="0"/>
        <w:spacing w:before="380" w:after="283"/>
        <w:ind w:left="400" w:right="0" w:hanging="0"/>
        <w:jc w:val="left"/>
        <w:rPr>
          <w:rFonts w:ascii="Times New Roman;Times;serif" w:hAnsi="Times New Roman;Times;serif"/>
          <w:b/>
          <w:i/>
          <w:color w:val="000000"/>
          <w:sz w:val="20"/>
          <w:shd w:fill="FFFFFF" w:val="clear"/>
        </w:rPr>
      </w:pPr>
      <w:r>
        <w:rPr>
          <w:rFonts w:ascii="Times New Roman;Times;serif" w:hAnsi="Times New Roman;Times;serif"/>
          <w:b/>
          <w:i/>
          <w:color w:val="000000"/>
          <w:sz w:val="20"/>
          <w:shd w:fill="FFFFFF" w:val="clear"/>
        </w:rPr>
        <w:t xml:space="preserve">2024 Global Equity Incentive Plan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November 2024, the Company adopted the 2024 Global Equity Incentive Plan (the “2024 Plan”), which provides for the grant of share options, share appreciation rights, restricted share units, restricted shares or other share-based awards with a life of ten years from the date of its adoption on November 18, 2024. The initial maximum number of ordinary shares may be granted and issuable pursuant to the 2024 Plan is 10,245,000 ordinary shares.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According to the 2024 Plan, the Company has granted 4,884,030 restricted shares in total to certain of the directors, employees and a consultant of the Company, of which 909,204 ordinary shares were immediately vested, exercised and issued on November 18, 2024.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During the six months ended September 30, 2025 and 2024, the Company recorded $6.1 million and nil share-based compensation expenses, respectively, which is included in the operating costs and expenses in the unaudited condensed consolidated statements of operations and comprehensive loss. WSI did not recognize any income tax benefits from stock-based compensation arrangements during the six months ended September 30, 2025 and 2024 as it is not deductible for income tax purpose in WSI.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September 30, 2025, total unrecognized compensation remaining to be recognized in future period for the 2024 Plan totaled $1.5 million, which is expected to be recognized over the weighted average period of 1.2 years. </w:t>
      </w:r>
    </w:p>
    <w:p>
      <w:pPr>
        <w:pStyle w:val="TextBody"/>
        <w:bidi w:val="0"/>
        <w:spacing w:before="160" w:after="283"/>
        <w:ind w:left="400" w:right="0" w:hanging="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 summary of the activities of the 2024 Plan as of September 30, 2025 and March 31, 2025 is as follows: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9050" w:type="dxa"/>
        <w:jc w:val="left"/>
        <w:tblInd w:w="0" w:type="dxa"/>
        <w:tblLayout w:type="fixed"/>
        <w:tblCellMar>
          <w:top w:w="0" w:type="dxa"/>
          <w:left w:w="0" w:type="dxa"/>
          <w:bottom w:w="0" w:type="dxa"/>
          <w:right w:w="0" w:type="dxa"/>
        </w:tblCellMar>
      </w:tblPr>
      <w:tblGrid>
        <w:gridCol w:w="3335"/>
        <w:gridCol w:w="140"/>
        <w:gridCol w:w="140"/>
        <w:gridCol w:w="965"/>
        <w:gridCol w:w="140"/>
        <w:gridCol w:w="140"/>
        <w:gridCol w:w="1145"/>
        <w:gridCol w:w="140"/>
        <w:gridCol w:w="140"/>
        <w:gridCol w:w="1385"/>
        <w:gridCol w:w="140"/>
        <w:gridCol w:w="140"/>
        <w:gridCol w:w="1100"/>
      </w:tblGrid>
      <w:tr>
        <w:trPr/>
        <w:tc>
          <w:tcPr>
            <w:tcW w:w="3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35" w:type="dxa"/>
            <w:gridSpan w:val="10"/>
            <w:tcBorders/>
            <w:vAlign w:val="center"/>
          </w:tcPr>
          <w:p>
            <w:pPr>
              <w:pStyle w:val="TableContents"/>
              <w:bidi w:val="0"/>
              <w:spacing w:before="0" w:after="0"/>
              <w:jc w:val="left"/>
              <w:rPr/>
            </w:pPr>
            <w:r>
              <w:rPr/>
              <w:t> </w:t>
            </w:r>
          </w:p>
        </w:tc>
      </w:tr>
      <w:tr>
        <w:trPr/>
        <w:tc>
          <w:tcPr>
            <w:tcW w:w="3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3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September 30, 2025 </w:t>
            </w:r>
          </w:p>
        </w:tc>
      </w:tr>
      <w:tr>
        <w:trPr/>
        <w:tc>
          <w:tcPr>
            <w:tcW w:w="3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restricted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fair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life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intrinsic value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beginning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3,974,826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86" w:right="0" w:hanging="0"/>
              <w:jc w:val="left"/>
              <w:rPr>
                <w:rFonts w:ascii="Times New Roman;Times;serif" w:hAnsi="Times New Roman;Times;serif"/>
                <w:color w:val="000000"/>
                <w:sz w:val="20"/>
              </w:rPr>
            </w:pPr>
            <w:r>
              <w:rPr>
                <w:rFonts w:ascii="Times New Roman;Times;serif" w:hAnsi="Times New Roman;Times;serif"/>
                <w:color w:val="000000"/>
                <w:sz w:val="20"/>
              </w:rPr>
              <w:t>$3.23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0.88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$9,894,439 </w:t>
            </w:r>
          </w:p>
        </w:tc>
      </w:tr>
      <w:tr>
        <w:trPr/>
        <w:tc>
          <w:tcPr>
            <w:tcW w:w="33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Granted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center"/>
              <w:rPr>
                <w:color w:val="000000"/>
              </w:rPr>
            </w:pPr>
            <w:r>
              <w:rPr>
                <w:color w:val="000000"/>
              </w:rPr>
              <w:t> </w:t>
            </w:r>
          </w:p>
        </w:tc>
      </w:tr>
      <w:tr>
        <w:trPr/>
        <w:tc>
          <w:tcPr>
            <w:tcW w:w="33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Vested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(2,696,442)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86" w:right="0" w:hanging="0"/>
              <w:jc w:val="left"/>
              <w:rPr>
                <w:rFonts w:ascii="Times New Roman;Times;serif" w:hAnsi="Times New Roman;Times;serif"/>
                <w:color w:val="000000"/>
                <w:sz w:val="20"/>
              </w:rPr>
            </w:pPr>
            <w:r>
              <w:rPr>
                <w:rFonts w:ascii="Times New Roman;Times;serif" w:hAnsi="Times New Roman;Times;serif"/>
                <w:color w:val="000000"/>
                <w:sz w:val="20"/>
              </w:rPr>
              <w:t>$3.20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3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end of period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1,278,384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6" w:right="0" w:hanging="0"/>
              <w:jc w:val="left"/>
              <w:rPr>
                <w:rFonts w:ascii="Times New Roman;Times;serif" w:hAnsi="Times New Roman;Times;serif"/>
                <w:color w:val="000000"/>
                <w:sz w:val="20"/>
              </w:rPr>
            </w:pPr>
            <w:r>
              <w:rPr>
                <w:rFonts w:ascii="Times New Roman;Times;serif" w:hAnsi="Times New Roman;Times;serif"/>
                <w:color w:val="000000"/>
                <w:sz w:val="20"/>
              </w:rPr>
              <w:t>$3.27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443" w:right="0" w:hanging="0"/>
              <w:jc w:val="left"/>
              <w:rPr>
                <w:rFonts w:ascii="Times New Roman;Times;serif" w:hAnsi="Times New Roman;Times;serif"/>
                <w:color w:val="000000"/>
                <w:sz w:val="20"/>
              </w:rPr>
            </w:pPr>
            <w:r>
              <w:rPr>
                <w:rFonts w:ascii="Times New Roman;Times;serif" w:hAnsi="Times New Roman;Times;serif"/>
                <w:color w:val="000000"/>
                <w:sz w:val="20"/>
              </w:rPr>
              <w:t>0.63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$3,220,027 </w:t>
            </w:r>
          </w:p>
        </w:tc>
      </w:tr>
      <w:tr>
        <w:trPr/>
        <w:tc>
          <w:tcPr>
            <w:tcW w:w="33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Exercisable or convertible, end of period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color w:val="000000"/>
                <w:bdr w:val="single" w:sz="8" w:space="2" w:color="000000"/>
              </w:rPr>
            </w:pPr>
            <w:r>
              <w:rPr>
                <w:color w:val="00000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86"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center"/>
              <w:rPr>
                <w:color w:val="000000"/>
              </w:rPr>
            </w:pPr>
            <w:r>
              <w:rPr>
                <w:color w:val="000000"/>
              </w:rPr>
              <w:t> </w:t>
            </w:r>
          </w:p>
        </w:tc>
      </w:tr>
      <w:tr>
        <w:trPr/>
        <w:tc>
          <w:tcPr>
            <w:tcW w:w="33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F-19</w:t>
      </w:r>
    </w:p>
    <w:p>
      <w:pPr>
        <w:pStyle w:val="HorizontalLine"/>
        <w:bidi w:val="0"/>
        <w:spacing w:before="200" w:after="200"/>
        <w:jc w:val="left"/>
        <w:rPr/>
      </w:pPr>
      <w:r>
        <w:rPr/>
      </w:r>
    </w:p>
    <w:p>
      <w:pPr>
        <w:pStyle w:val="TextBody"/>
        <w:bidi w:val="0"/>
        <w:jc w:val="left"/>
        <w:rPr/>
      </w:pPr>
      <w:hyperlink w:anchor="TOC">
        <w:bookmarkStart w:id="114" w:name="ny20053887x8_posam_202-finnotes_pg14"/>
        <w:bookmarkEnd w:id="11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tbl>
      <w:tblPr>
        <w:tblW w:w="2785" w:type="dxa"/>
        <w:jc w:val="left"/>
        <w:tblInd w:w="0" w:type="dxa"/>
        <w:tblLayout w:type="fixed"/>
        <w:tblCellMar>
          <w:top w:w="0" w:type="dxa"/>
          <w:left w:w="0" w:type="dxa"/>
          <w:bottom w:w="0" w:type="dxa"/>
          <w:right w:w="0" w:type="dxa"/>
        </w:tblCellMar>
      </w:tblPr>
      <w:tblGrid>
        <w:gridCol w:w="275"/>
        <w:gridCol w:w="251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25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SEGMENT INFORMATION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 operates and manages its business as one reportable and operating segment concentrating on the provisions of securities brokerage services and financial technology services. The measure of segment assets is reported on the balance sheet as total consolidated assets. The Company derives revenue primarily in Hong Kong and manages its business activities on a consolidated basis.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Company’s CODM is a management committee that consists of Chief Executive Officer, Chief Technology Officer, and a number of other senior officers of the Company, by whom review financial information presented on a consolidated basis and decides how to allocate resources based on net income (loss). Consolidated net income (loss) is used for evaluating financial performance.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When evaluating the Company’s performance and making key decisions regarding resource allocation the CODM reviews several key metrics, which include the following: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10205" w:type="dxa"/>
        <w:jc w:val="left"/>
        <w:tblInd w:w="0" w:type="dxa"/>
        <w:tblLayout w:type="fixed"/>
        <w:tblCellMar>
          <w:top w:w="0" w:type="dxa"/>
          <w:left w:w="0" w:type="dxa"/>
          <w:bottom w:w="0" w:type="dxa"/>
          <w:right w:w="0" w:type="dxa"/>
        </w:tblCellMar>
      </w:tblPr>
      <w:tblGrid>
        <w:gridCol w:w="6961"/>
        <w:gridCol w:w="140"/>
        <w:gridCol w:w="140"/>
        <w:gridCol w:w="1302"/>
        <w:gridCol w:w="170"/>
        <w:gridCol w:w="170"/>
        <w:gridCol w:w="1322"/>
      </w:tblGrid>
      <w:tr>
        <w:trPr/>
        <w:tc>
          <w:tcPr>
            <w:tcW w:w="69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64" w:type="dxa"/>
            <w:gridSpan w:val="4"/>
            <w:tcBorders/>
            <w:vAlign w:val="center"/>
          </w:tcPr>
          <w:p>
            <w:pPr>
              <w:pStyle w:val="TableContents"/>
              <w:bidi w:val="0"/>
              <w:spacing w:before="0" w:after="0"/>
              <w:jc w:val="left"/>
              <w:rPr/>
            </w:pPr>
            <w:r>
              <w:rPr/>
              <w:t> </w:t>
            </w:r>
          </w:p>
        </w:tc>
      </w:tr>
      <w:tr>
        <w:trPr/>
        <w:tc>
          <w:tcPr>
            <w:tcW w:w="696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64"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six months ended September 30, </w:t>
            </w:r>
          </w:p>
        </w:tc>
      </w:tr>
      <w:tr>
        <w:trPr/>
        <w:tc>
          <w:tcPr>
            <w:tcW w:w="696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69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Brokerage and commission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4,165,385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2"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1,289,384 </w:t>
            </w:r>
          </w:p>
        </w:tc>
      </w:tr>
      <w:tr>
        <w:trPr/>
        <w:tc>
          <w:tcPr>
            <w:tcW w:w="69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transactions and proprietary trading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315,337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2" w:type="dxa"/>
            <w:tcBorders/>
            <w:vAlign w:val="center"/>
          </w:tcPr>
          <w:p>
            <w:pPr>
              <w:pStyle w:val="TableContents"/>
              <w:bidi w:val="0"/>
              <w:spacing w:before="0" w:after="283"/>
              <w:ind w:left="191" w:right="0" w:hanging="0"/>
              <w:jc w:val="left"/>
              <w:rPr>
                <w:color w:val="000000"/>
              </w:rPr>
            </w:pPr>
            <w:r>
              <w:rPr>
                <w:color w:val="000000"/>
              </w:rPr>
              <w:t>—</w:t>
            </w:r>
          </w:p>
        </w:tc>
      </w:tr>
      <w:tr>
        <w:trPr/>
        <w:tc>
          <w:tcPr>
            <w:tcW w:w="69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960,680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2"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522,745</w:t>
            </w:r>
          </w:p>
        </w:tc>
      </w:tr>
      <w:tr>
        <w:trPr/>
        <w:tc>
          <w:tcPr>
            <w:tcW w:w="6961"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Software licensing (including subscription based) and related support services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1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661,498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2" w:type="dxa"/>
            <w:tcBorders/>
            <w:vAlign w:val="center"/>
          </w:tcPr>
          <w:p>
            <w:pPr>
              <w:pStyle w:val="TableContents"/>
              <w:bidi w:val="0"/>
              <w:spacing w:before="0" w:after="283"/>
              <w:ind w:left="1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1,146,134</w:t>
            </w:r>
          </w:p>
        </w:tc>
      </w:tr>
      <w:tr>
        <w:trPr/>
        <w:tc>
          <w:tcPr>
            <w:tcW w:w="69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6,102,900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2"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2,958,263</w:t>
            </w:r>
          </w:p>
        </w:tc>
      </w:tr>
      <w:tr>
        <w:trPr/>
        <w:tc>
          <w:tcPr>
            <w:tcW w:w="69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Commissions and brokerage fees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(1,639,072)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2"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(172,712)</w:t>
            </w:r>
          </w:p>
        </w:tc>
      </w:tr>
      <w:tr>
        <w:trPr/>
        <w:tc>
          <w:tcPr>
            <w:tcW w:w="6961"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Software licensing (including subscription based) and related support outsourcing cost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(487,860)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2"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(507,822)</w:t>
            </w:r>
          </w:p>
        </w:tc>
      </w:tr>
      <w:tr>
        <w:trPr/>
        <w:tc>
          <w:tcPr>
            <w:tcW w:w="69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(353,587)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2"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(85,657)</w:t>
            </w:r>
          </w:p>
        </w:tc>
      </w:tr>
      <w:tr>
        <w:trPr/>
        <w:tc>
          <w:tcPr>
            <w:tcW w:w="69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Share-based compensation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(6,104,672)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2" w:type="dxa"/>
            <w:tcBorders/>
            <w:shd w:fill="CCEEFF" w:val="clear"/>
            <w:vAlign w:val="center"/>
          </w:tcPr>
          <w:p>
            <w:pPr>
              <w:pStyle w:val="TableContents"/>
              <w:bidi w:val="0"/>
              <w:spacing w:before="0" w:after="283"/>
              <w:ind w:left="191" w:right="0" w:hanging="0"/>
              <w:jc w:val="left"/>
              <w:rPr>
                <w:color w:val="000000"/>
              </w:rPr>
            </w:pPr>
            <w:r>
              <w:rPr>
                <w:color w:val="000000"/>
              </w:rPr>
              <w:t>—</w:t>
            </w:r>
          </w:p>
        </w:tc>
      </w:tr>
      <w:tr>
        <w:trPr/>
        <w:tc>
          <w:tcPr>
            <w:tcW w:w="69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Research and development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(387,425)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2" w:type="dxa"/>
            <w:tcBorders/>
            <w:vAlign w:val="center"/>
          </w:tcPr>
          <w:p>
            <w:pPr>
              <w:pStyle w:val="TableContents"/>
              <w:bidi w:val="0"/>
              <w:spacing w:before="0" w:after="283"/>
              <w:ind w:left="191" w:right="0" w:hanging="0"/>
              <w:jc w:val="left"/>
              <w:rPr>
                <w:color w:val="000000"/>
              </w:rPr>
            </w:pPr>
            <w:r>
              <w:rPr>
                <w:color w:val="000000"/>
              </w:rPr>
              <w:t>—</w:t>
            </w:r>
          </w:p>
        </w:tc>
      </w:tr>
      <w:tr>
        <w:trPr/>
        <w:tc>
          <w:tcPr>
            <w:tcW w:w="69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operating costs and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(4,840,440)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2"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(3,114,326)</w:t>
            </w:r>
          </w:p>
        </w:tc>
      </w:tr>
      <w:tr>
        <w:trPr/>
        <w:tc>
          <w:tcPr>
            <w:tcW w:w="69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(7,710,156)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2"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(922,254)</w:t>
            </w:r>
          </w:p>
        </w:tc>
      </w:tr>
      <w:tr>
        <w:trPr/>
        <w:tc>
          <w:tcPr>
            <w:tcW w:w="69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income (loss),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(656,486)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2"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(303,139)</w:t>
            </w:r>
          </w:p>
        </w:tc>
      </w:tr>
      <w:tr>
        <w:trPr/>
        <w:tc>
          <w:tcPr>
            <w:tcW w:w="69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Loss before income tax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(8,366,642)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2" w:type="dxa"/>
            <w:tcBorders/>
            <w:vAlign w:val="center"/>
          </w:tcPr>
          <w:p>
            <w:pPr>
              <w:pStyle w:val="TableContents"/>
              <w:bidi w:val="0"/>
              <w:spacing w:before="0" w:after="283"/>
              <w:ind w:left="191" w:right="0" w:hanging="0"/>
              <w:jc w:val="left"/>
              <w:rPr>
                <w:rFonts w:ascii="Times New Roman;Times;serif" w:hAnsi="Times New Roman;Times;serif"/>
                <w:color w:val="000000"/>
                <w:sz w:val="20"/>
              </w:rPr>
            </w:pPr>
            <w:r>
              <w:rPr>
                <w:rFonts w:ascii="Times New Roman;Times;serif" w:hAnsi="Times New Roman;Times;serif"/>
                <w:color w:val="000000"/>
                <w:sz w:val="20"/>
              </w:rPr>
              <w:t>(1,225,393)</w:t>
            </w:r>
          </w:p>
        </w:tc>
      </w:tr>
      <w:tr>
        <w:trPr/>
        <w:tc>
          <w:tcPr>
            <w:tcW w:w="69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Income tax benefit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2" w:type="dxa"/>
            <w:tcBorders/>
            <w:shd w:fill="CCEEFF" w:val="clear"/>
            <w:vAlign w:val="center"/>
          </w:tcPr>
          <w:p>
            <w:pPr>
              <w:pStyle w:val="TableContents"/>
              <w:bidi w:val="0"/>
              <w:spacing w:before="0" w:after="283"/>
              <w:ind w:left="191" w:right="0" w:hanging="0"/>
              <w:jc w:val="left"/>
              <w:rPr>
                <w:color w:val="000000"/>
                <w:bdr w:val="single" w:sz="8" w:space="2" w:color="000000"/>
              </w:rPr>
            </w:pPr>
            <w:r>
              <w:rPr>
                <w:color w:val="000000"/>
                <w:bdr w:val="single" w:sz="8" w:space="2" w:color="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2" w:type="dxa"/>
            <w:tcBorders/>
            <w:shd w:fill="CCEEFF" w:val="clear"/>
            <w:vAlign w:val="center"/>
          </w:tcPr>
          <w:p>
            <w:pPr>
              <w:pStyle w:val="TableContents"/>
              <w:bidi w:val="0"/>
              <w:spacing w:before="0" w:after="283"/>
              <w:ind w:left="191"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77,138</w:t>
            </w:r>
          </w:p>
        </w:tc>
      </w:tr>
      <w:tr>
        <w:trPr/>
        <w:tc>
          <w:tcPr>
            <w:tcW w:w="69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283"/>
              <w:ind w:left="19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$(8,366,642)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2" w:type="dxa"/>
            <w:tcBorders/>
            <w:vAlign w:val="center"/>
          </w:tcPr>
          <w:p>
            <w:pPr>
              <w:pStyle w:val="TableContents"/>
              <w:bidi w:val="0"/>
              <w:spacing w:before="0" w:after="283"/>
              <w:ind w:left="191"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$(1,148,255)</w:t>
            </w:r>
          </w:p>
        </w:tc>
      </w:tr>
      <w:tr>
        <w:trPr/>
        <w:tc>
          <w:tcPr>
            <w:tcW w:w="696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2" w:type="dxa"/>
            <w:tcBorders/>
            <w:vAlign w:val="center"/>
          </w:tcPr>
          <w:p>
            <w:pPr>
              <w:pStyle w:val="TableContents"/>
              <w:bidi w:val="0"/>
              <w:spacing w:before="0" w:after="0"/>
              <w:jc w:val="left"/>
              <w:rPr/>
            </w:pPr>
            <w:r>
              <w:rPr/>
              <w:t>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As of September 30, 2025 and March 31, 2025, all long-lived assets and all of the revenues generated are attributed to the Group’s operations in Hong Kong. </w:t>
      </w:r>
    </w:p>
    <w:tbl>
      <w:tblPr>
        <w:tblW w:w="3745" w:type="dxa"/>
        <w:jc w:val="left"/>
        <w:tblInd w:w="0" w:type="dxa"/>
        <w:tblLayout w:type="fixed"/>
        <w:tblCellMar>
          <w:top w:w="0" w:type="dxa"/>
          <w:left w:w="0" w:type="dxa"/>
          <w:bottom w:w="0" w:type="dxa"/>
          <w:right w:w="0" w:type="dxa"/>
        </w:tblCellMar>
      </w:tblPr>
      <w:tblGrid>
        <w:gridCol w:w="275"/>
        <w:gridCol w:w="347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34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COLLATERALIZED TRANSACTIONS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WSI engages in margin financing transactions with its clients. Margin loans generated from margin lending activity for securities traded in the secondary market are collateralized by client-owned securities. WSI monitors the required margin and collateral level on a daily basis in compliance with regulatory and internal guidelines. Under applicable agreements, clients are required to deposit additional collateral or reduce holding positions, when necessary to avoid forced liquidation of their positions. Pursuant to the authorization obtained from margin clients, the Company further repledges the collaterals to financial institutions to obtain the funding for the margin or other businesses.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F-20</w:t>
      </w:r>
    </w:p>
    <w:p>
      <w:pPr>
        <w:pStyle w:val="HorizontalLine"/>
        <w:bidi w:val="0"/>
        <w:spacing w:before="200" w:after="200"/>
        <w:jc w:val="left"/>
        <w:rPr/>
      </w:pPr>
      <w:r>
        <w:rPr/>
      </w:r>
    </w:p>
    <w:p>
      <w:pPr>
        <w:pStyle w:val="TextBody"/>
        <w:bidi w:val="0"/>
        <w:jc w:val="left"/>
        <w:rPr/>
      </w:pPr>
      <w:hyperlink w:anchor="TOC">
        <w:bookmarkStart w:id="115" w:name="ny20053887x8_posam_202-finnotes_pg15"/>
        <w:bookmarkEnd w:id="11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p>
      <w:pPr>
        <w:pStyle w:val="TextBody"/>
        <w:bidi w:val="0"/>
        <w:spacing w:before="16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following table summarizes the amounts of margin loans and clients’ collaterals received and repledged by the Group as of September 30, 2025 and March 31, 2025: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r>
    </w:p>
    <w:tbl>
      <w:tblPr>
        <w:tblW w:w="7730" w:type="dxa"/>
        <w:jc w:val="left"/>
        <w:tblInd w:w="0" w:type="dxa"/>
        <w:tblLayout w:type="fixed"/>
        <w:tblCellMar>
          <w:top w:w="0" w:type="dxa"/>
          <w:left w:w="0" w:type="dxa"/>
          <w:bottom w:w="0" w:type="dxa"/>
          <w:right w:w="0" w:type="dxa"/>
        </w:tblCellMar>
      </w:tblPr>
      <w:tblGrid>
        <w:gridCol w:w="4790"/>
        <w:gridCol w:w="140"/>
        <w:gridCol w:w="140"/>
        <w:gridCol w:w="1160"/>
        <w:gridCol w:w="140"/>
        <w:gridCol w:w="140"/>
        <w:gridCol w:w="1220"/>
      </w:tblGrid>
      <w:tr>
        <w:trPr/>
        <w:tc>
          <w:tcPr>
            <w:tcW w:w="4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gridSpan w:val="4"/>
            <w:tcBorders/>
            <w:vAlign w:val="center"/>
          </w:tcPr>
          <w:p>
            <w:pPr>
              <w:pStyle w:val="TableContents"/>
              <w:bidi w:val="0"/>
              <w:spacing w:before="0" w:after="0"/>
              <w:jc w:val="left"/>
              <w:rPr/>
            </w:pPr>
            <w:r>
              <w:rPr/>
              <w:t> </w:t>
            </w:r>
          </w:p>
        </w:tc>
      </w:tr>
      <w:tr>
        <w:trPr/>
        <w:tc>
          <w:tcPr>
            <w:tcW w:w="4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As of </w:t>
            </w:r>
          </w:p>
        </w:tc>
      </w:tr>
      <w:tr>
        <w:trPr/>
        <w:tc>
          <w:tcPr>
            <w:tcW w:w="47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September 30,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March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Margin loan extended to margin clients*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12,716,345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4,364,851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value of securities held by margin clients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$171,210,761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$133,458,270 </w:t>
            </w:r>
          </w:p>
        </w:tc>
      </w:tr>
      <w:tr>
        <w:trPr/>
        <w:tc>
          <w:tcPr>
            <w:tcW w:w="4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Margin loan received from financial institutions**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11,504,379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7,234,684 </w:t>
            </w:r>
          </w:p>
        </w:tc>
      </w:tr>
      <w:tr>
        <w:trPr/>
        <w:tc>
          <w:tcPr>
            <w:tcW w:w="4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value of securities repledged to financial institutions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17,120,792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10,179,699</w:t>
            </w:r>
          </w:p>
        </w:tc>
      </w:tr>
      <w:tr>
        <w:trPr/>
        <w:tc>
          <w:tcPr>
            <w:tcW w:w="47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r>
    </w:tbl>
    <w:p>
      <w:pPr>
        <w:pStyle w:val="TextBody"/>
        <w:bidi w:val="0"/>
        <w:spacing w:before="255" w:after="20"/>
        <w:ind w:left="400" w:right="0" w:hanging="0"/>
        <w:jc w:val="left"/>
        <w:rPr>
          <w:bdr w:val="single" w:sz="8" w:space="1" w:color="000000"/>
        </w:rPr>
      </w:pPr>
      <w:r>
        <w:rPr>
          <w:bdr w:val="single" w:sz="8" w:space="1" w:color="000000"/>
        </w:rPr>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 includes margin loan receivables from WGI totaling nil million and $3.5 million, net of client payables to WGI amounting to nil and $0.2 million, as of September 30, 2025 and March 31, 2025, respectively. </w:t>
            </w:r>
          </w:p>
        </w:tc>
      </w:tr>
    </w:tbl>
    <w:tbl>
      <w:tblPr>
        <w:tblW w:w="4435" w:type="dxa"/>
        <w:jc w:val="left"/>
        <w:tblInd w:w="0" w:type="dxa"/>
        <w:tblLayout w:type="fixed"/>
        <w:tblCellMar>
          <w:top w:w="0" w:type="dxa"/>
          <w:left w:w="0" w:type="dxa"/>
          <w:bottom w:w="0" w:type="dxa"/>
          <w:right w:w="0" w:type="dxa"/>
        </w:tblCellMar>
      </w:tblPr>
      <w:tblGrid>
        <w:gridCol w:w="200"/>
        <w:gridCol w:w="423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2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Recorded in Payable to Brokers and Clearing Organizations. </w:t>
            </w:r>
          </w:p>
        </w:tc>
      </w:tr>
    </w:tbl>
    <w:tbl>
      <w:tblPr>
        <w:tblW w:w="4270" w:type="dxa"/>
        <w:jc w:val="left"/>
        <w:tblInd w:w="0" w:type="dxa"/>
        <w:tblLayout w:type="fixed"/>
        <w:tblCellMar>
          <w:top w:w="0" w:type="dxa"/>
          <w:left w:w="0" w:type="dxa"/>
          <w:bottom w:w="0" w:type="dxa"/>
          <w:right w:w="0" w:type="dxa"/>
        </w:tblCellMar>
      </w:tblPr>
      <w:tblGrid>
        <w:gridCol w:w="275"/>
        <w:gridCol w:w="399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39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REGULATORY CAPITAL REQUIREMENTS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Group’s broker-dealer subsidiary, WSI, which is located in Hong Kong, is subject to capital requirements determined by its respective regulator, the Securities and Futures (Financial Resources) Rules and the Securities and Future Ordinance. Regulatory capital requirements could restrict the operating subsidiary from expanding its business and declaring dividends if its required capital does not meet regulatory requirements. As of September 30, 2025 and March 31, 2025, WSI is required to maintain minimum liquid capital of $385,609 (HK$3.0 million) and was in compliance with its regulatory capital requirements. </w:t>
      </w:r>
    </w:p>
    <w:tbl>
      <w:tblPr>
        <w:tblW w:w="4015" w:type="dxa"/>
        <w:jc w:val="left"/>
        <w:tblInd w:w="0" w:type="dxa"/>
        <w:tblLayout w:type="fixed"/>
        <w:tblCellMar>
          <w:top w:w="0" w:type="dxa"/>
          <w:left w:w="0" w:type="dxa"/>
          <w:bottom w:w="0" w:type="dxa"/>
          <w:right w:w="0" w:type="dxa"/>
        </w:tblCellMar>
      </w:tblPr>
      <w:tblGrid>
        <w:gridCol w:w="275"/>
        <w:gridCol w:w="374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COMMITMENTS AND CONTINGENCIES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From time to time, the Group may be a party to various legal actions arising in the ordinary course of business. Litigation is subject to inherent uncertainties, and an adverse result in these or other matters may arise from time to time that may harm business. The Group accrues costs associated with these matters when they become probable and the amount can be reasonably estimated. Legal costs incurred in connection with loss contingencies are expensed as incurred.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May 7, 2024, WSI obtained a bank overdrafts limit of approximately $2.6 million (equivalent to HK$20.0 million) from a financial institution in Hong Kong. When WSI utilizes the bank overdraft, interest will be charged at the bank’s best lending rate plus 2.5% per annum. As of September 30, 2025 and March 31, 2025, the Company utilized $1.6 million and nil bank overdraft limit, respectively.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For the six months ended September 30, 2025 and 2024, except for the matters mentioned above, the Group is not aware of any material legal claims or litigation that, individually or in the aggregate, could have a material adverse impact on the Group’s unaudited condensed consolidated financial position, results of operations, and cash flows. </w:t>
      </w:r>
    </w:p>
    <w:p>
      <w:pPr>
        <w:pStyle w:val="TextBody"/>
        <w:bidi w:val="0"/>
        <w:spacing w:before="0" w:after="0"/>
        <w:ind w:left="0" w:right="0" w:hanging="0"/>
        <w:jc w:val="left"/>
        <w:rPr/>
      </w:pPr>
      <w:r>
        <w:rPr/>
      </w:r>
    </w:p>
    <w:p>
      <w:pPr>
        <w:pStyle w:val="Normal"/>
        <w:bidi w:val="0"/>
        <w:spacing w:before="0" w:after="0"/>
        <w:jc w:val="left"/>
        <w:rPr>
          <w:sz w:val="4"/>
          <w:szCs w:val="4"/>
        </w:rPr>
      </w:pPr>
      <w:r>
        <w:rPr>
          <w:sz w:val="4"/>
          <w:szCs w:val="4"/>
        </w:rPr>
      </w:r>
      <w:bookmarkStart w:id="116" w:name="tNTU1"/>
      <w:bookmarkStart w:id="117" w:name="tNTU1"/>
      <w:bookmarkEnd w:id="117"/>
    </w:p>
    <w:tbl>
      <w:tblPr>
        <w:tblW w:w="2470" w:type="dxa"/>
        <w:jc w:val="left"/>
        <w:tblInd w:w="0" w:type="dxa"/>
        <w:tblLayout w:type="fixed"/>
        <w:tblCellMar>
          <w:top w:w="0" w:type="dxa"/>
          <w:left w:w="0" w:type="dxa"/>
          <w:bottom w:w="0" w:type="dxa"/>
          <w:right w:w="0" w:type="dxa"/>
        </w:tblCellMar>
      </w:tblPr>
      <w:tblGrid>
        <w:gridCol w:w="275"/>
        <w:gridCol w:w="219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w:t>
            </w:r>
          </w:p>
        </w:tc>
        <w:tc>
          <w:tcPr>
            <w:tcW w:w="21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SUBSEQUENT EVENTS </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Group has evaluated subsequent events through March 2, 2026 the date of issuance of the unaudited condensed consolidated financial statements.</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 January 2026, WSI, a wholly-owned subsidiary entered into a facility letter agreement amendment (“facility letter”) with certain banking corporation in Hong Kong, to increase its existing banking facilities from HK$20 million to HK$40 million. The facilities are revolving in nature and intended to support WSI’s trading activities. This increase provides additional liquidity to WSI but does not impact the consolidated financial position as of September 30, 2025.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Except for the matters mentioned above and those disclosed elsewhere in the unaudited condensed consolidated financial statements, there were no other subsequent events occurred that would require recognition or disclosure in the Group’s unaudited condensed consolidated financial statements.</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F-21</w:t>
      </w:r>
    </w:p>
    <w:p>
      <w:pPr>
        <w:pStyle w:val="HorizontalLine"/>
        <w:bidi w:val="0"/>
        <w:spacing w:before="200" w:after="200"/>
        <w:jc w:val="left"/>
        <w:rPr/>
      </w:pPr>
      <w:r>
        <w:rPr/>
      </w:r>
    </w:p>
    <w:p>
      <w:pPr>
        <w:pStyle w:val="TextBody"/>
        <w:bidi w:val="0"/>
        <w:jc w:val="left"/>
        <w:rPr/>
      </w:pPr>
      <w:hyperlink w:anchor="TOC">
        <w:bookmarkStart w:id="118" w:name="ny20075344x1_posam_202-finnotes_pg16"/>
        <w:bookmarkStart w:id="119" w:name="ny20053887x8_posam_300-bcv_pg1"/>
        <w:bookmarkEnd w:id="118"/>
        <w:bookmarkEnd w:id="11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WATON FINANCIAL LIMITED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NOTES TO UNAUDITED CONDENSED CONSOLIDATED FINANCIAL STATEMENTS </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 U.S. dollars, except for share data or otherwise noted) </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15.</w:t>
            </w:r>
          </w:p>
        </w:tc>
        <w:tc>
          <w:tcPr>
            <w:tcW w:w="9963"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EVENTS SUBSEQUENT TO THE ISSUANCE OF UNAUDITED CONDENSED CONSOLIDATED FINANCIAL STATEMENTS FOR THE SIX MONTHS ENDED SEPTEMBER 30, 2025 INCLUDED IN THE POST-EFFECTIVE AMENDMENT NO.1 TO FORM F-1 REGISTRATION STATEMENT UNDER THE SECRUITIES ACT OF 1933 FILED ON MARCH 2, 2026</w:t>
            </w:r>
          </w:p>
        </w:tc>
      </w:tr>
    </w:tbl>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April 16, 2026, Waton AI Genius Holding Limited (“Waton AI”), a wholly-owned subsidiary of the Company incorporated in the British Virgin Islands, converted the outstanding principal amount of a convertible promissory note into 7,500,000 preferred shares (the “Preferred Shares”) of PandaAI Quantum Holdings Limited (the “Invested Company”), an exempted company incorporated in the Cayman Islands, at a conversion price of US$0.376350156 per share. The underlying Preferred Share Purchase Agreement was entered into on November 19, 2025, and the note closing (principal amount of US$2,822,626) had been consummated prior to the conversion.</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On April 19, 2026, the Company entered into a Finder’s Services Agreement (the “Finder’s Agreement”) with OCASIA Group Holdings Ltd. (the “Finder”), a company incorporated under the laws of the Republic of the Marshall Islands, and Love &amp; Health Limited (“SPAC”). Pursuant to the Finder’s Agreement, the Finder agreed to assist the SPAC in identifying and facilitating introductions to one or more potential operating businesses suitable for a business combination. If the SPAC consummates a business combination with a target introduced by the Finder, the Company will pay the Finder a success fee equal to 1% of the pre-money valuation of the target at closing if such valuation exceeds $400 million, or an appropriate rate negotiated in good faith if the valuation is below $400 million. In addition, within 30 days of execution of the Finder’s Agreement, the Company agreed to pay the Finder an upfront cash payment of $1,200,000, to be credited against any success fee ultimately payable. The remaining balance of any success fee is payable at closing of the business combination, at the Finder’s election, in restricted stock units issued under the Company’s 2024 global equity incentive plan, cash, or another form mutually agreed upon in writing. </w:t>
      </w:r>
    </w:p>
    <w:p>
      <w:pPr>
        <w:pStyle w:val="TextBody"/>
        <w:bidi w:val="0"/>
        <w:spacing w:before="120" w:after="283"/>
        <w:ind w:left="4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May 4, 2026, WTF Asia Holding Limited (“WTF Asia”), a wholly owned subsidiary of the Company, is incorporated in the BVI with limited liability and the principal business is investment holding. On May 18, 2026, WTF Asia acquired 42.4% equity interest of CTFEX Holding Pte. Limited (“CTFEX”), a limited liability company incorporated in Singapore, for a consideration of SGD500,000.</w:t>
      </w:r>
    </w:p>
    <w:p>
      <w:pPr>
        <w:pStyle w:val="TextBody"/>
        <w:bidi w:val="0"/>
        <w:spacing w:before="0" w:after="0"/>
        <w:jc w:val="left"/>
        <w:rPr/>
      </w:pPr>
      <w:r>
        <w:rPr/>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F-22</w:t>
      </w:r>
    </w:p>
    <w:p>
      <w:pPr>
        <w:pStyle w:val="HorizontalLine"/>
        <w:bidi w:val="0"/>
        <w:spacing w:before="200" w:after="200"/>
        <w:jc w:val="left"/>
        <w:rPr/>
      </w:pPr>
      <w:r>
        <w:rPr/>
      </w:r>
    </w:p>
    <w:p>
      <w:pPr>
        <w:pStyle w:val="TextBody"/>
        <w:bidi w:val="0"/>
        <w:jc w:val="left"/>
        <w:rPr/>
      </w:pPr>
      <w:hyperlink w:anchor="TOC">
        <w:bookmarkStart w:id="120" w:name="ny20075344x1_posam_300-bcv_pg1"/>
        <w:bookmarkEnd w:id="12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3015" w:after="283"/>
        <w:ind w:left="0" w:right="0" w:hanging="0"/>
        <w:jc w:val="center"/>
        <w:rPr>
          <w:color w:val="000000"/>
          <w:shd w:fill="FFFFFF" w:val="clear"/>
        </w:rPr>
      </w:pPr>
      <w:r>
        <w:rPr>
          <w:color w:val="000000"/>
          <w:shd w:fill="FFFFFF" w:val="clear"/>
        </w:rPr>
        <w:drawing>
          <wp:inline distT="0" distB="0" distL="0" distR="0">
            <wp:extent cx="4267200" cy="1819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5"/>
                    <a:stretch>
                      <a:fillRect/>
                    </a:stretch>
                  </pic:blipFill>
                  <pic:spPr bwMode="auto">
                    <a:xfrm>
                      <a:off x="0" y="0"/>
                      <a:ext cx="4267200" cy="18192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410" w:after="283"/>
        <w:jc w:val="center"/>
        <w:rPr>
          <w:rFonts w:ascii="Times New Roman;Times;serif" w:hAnsi="Times New Roman;Times;serif"/>
          <w:b/>
          <w:color w:val="000000"/>
          <w:sz w:val="30"/>
          <w:shd w:fill="FFFFFF" w:val="clear"/>
        </w:rPr>
      </w:pPr>
      <w:r>
        <w:rPr>
          <w:rFonts w:ascii="Times New Roman;Times;serif" w:hAnsi="Times New Roman;Times;serif"/>
          <w:b/>
          <w:color w:val="000000"/>
          <w:sz w:val="30"/>
          <w:shd w:fill="FFFFFF" w:val="clear"/>
        </w:rPr>
        <w:t xml:space="preserve">Waton Financial Limited </w:t>
      </w:r>
    </w:p>
    <w:p>
      <w:pPr>
        <w:pStyle w:val="TextBody"/>
        <w:bidi w:val="0"/>
        <w:spacing w:before="490" w:after="283"/>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 xml:space="preserve">Up to 5,359,719 Ordinary Shares </w:t>
      </w:r>
    </w:p>
    <w:p>
      <w:pPr>
        <w:pStyle w:val="TextBody"/>
        <w:bidi w:val="0"/>
        <w:spacing w:before="17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Prospectus </w:t>
      </w:r>
    </w:p>
    <w:p>
      <w:pPr>
        <w:pStyle w:val="TextBody"/>
        <w:bidi w:val="0"/>
        <w:spacing w:before="3525" w:after="283"/>
        <w:jc w:val="center"/>
        <w:rPr>
          <w:color w:val="000000"/>
          <w:shd w:fill="FFFFFF" w:val="clear"/>
        </w:rPr>
      </w:pPr>
      <w:r>
        <w:rPr>
          <w:color w:val="000000"/>
          <w:shd w:fill="FFFFFF" w:val="clear"/>
        </w:rPr>
        <w:drawing>
          <wp:inline distT="0" distB="0" distL="0" distR="0">
            <wp:extent cx="942975" cy="257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6"/>
                    <a:stretch>
                      <a:fillRect/>
                    </a:stretch>
                  </pic:blipFill>
                  <pic:spPr bwMode="auto">
                    <a:xfrm>
                      <a:off x="0" y="0"/>
                      <a:ext cx="942975" cy="2571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170" w:after="283"/>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 2026 </w:t>
      </w:r>
    </w:p>
    <w:p>
      <w:pPr>
        <w:pStyle w:val="HorizontalLine"/>
        <w:bidi w:val="0"/>
        <w:spacing w:before="200" w:after="200"/>
        <w:jc w:val="left"/>
        <w:rPr/>
      </w:pPr>
      <w:r>
        <w:rPr/>
      </w:r>
    </w:p>
    <w:p>
      <w:pPr>
        <w:pStyle w:val="TextBody"/>
        <w:bidi w:val="0"/>
        <w:jc w:val="left"/>
        <w:rPr/>
      </w:pPr>
      <w:hyperlink w:anchor="TOC">
        <w:bookmarkStart w:id="121" w:name="ny20075344x1_posam_301-part2_pg1"/>
        <w:bookmarkEnd w:id="12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22" w:name="tPART2"/>
      <w:bookmarkEnd w:id="122"/>
      <w:r>
        <w:rPr>
          <w:rFonts w:ascii="Times New Roman;Times;serif" w:hAnsi="Times New Roman;Times;serif"/>
          <w:b/>
          <w:color w:val="000000"/>
          <w:sz w:val="20"/>
          <w:shd w:fill="FFFFFF" w:val="clear"/>
        </w:rPr>
        <w:t>PART II</w:t>
      </w:r>
    </w:p>
    <w:p>
      <w:pPr>
        <w:pStyle w:val="TextBody"/>
        <w:bidi w:val="0"/>
        <w:spacing w:before="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INFORMATION NOT REQUIRED IN PROSPECTUS </w:t>
      </w:r>
    </w:p>
    <w:tbl>
      <w:tblPr>
        <w:tblW w:w="5650" w:type="dxa"/>
        <w:jc w:val="left"/>
        <w:tblInd w:w="0" w:type="dxa"/>
        <w:tblLayout w:type="fixed"/>
        <w:tblCellMar>
          <w:top w:w="0" w:type="dxa"/>
          <w:left w:w="0" w:type="dxa"/>
          <w:bottom w:w="0" w:type="dxa"/>
          <w:right w:w="0" w:type="dxa"/>
        </w:tblCellMar>
      </w:tblPr>
      <w:tblGrid>
        <w:gridCol w:w="740"/>
        <w:gridCol w:w="4910"/>
      </w:tblGrid>
      <w:tr>
        <w:trPr/>
        <w:tc>
          <w:tcPr>
            <w:tcW w:w="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6.</w:t>
            </w:r>
          </w:p>
        </w:tc>
        <w:tc>
          <w:tcPr>
            <w:tcW w:w="49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Our memorandum and articles of association currently in effect provide that, subject to certain limitations, we indemnify against all expenses, including legal fees, and against all judgments, fines and amounts paid in settlement and reasonably incurred in connection with legal, administrative or investigative proceedings for any person who: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 or was a party or is threatened to be made a party to any threatened, pending or completed proceedings, whether civil, criminal, administrative or investigative, by reason of the fact that the person is or was our director;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 or was, at our request, serving as a director or officer of, or in any other capacity is or was acting for, another body corporate or a partnership, joint venture, trust or other enterprise. </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These indemnities only apply if the person acted honestly and in good faith with a view to our best interests and, in the case of criminal proceedings, the person had no reasonable cause to believe that his conduct was unlawful. The decision of the directors as to whether the person acted honestly and in good faith and with a view to the best interests of the company and as to whether the person had no reasonable cause to believe that his conduct was unlawful is, in the absence of fraud, sufficient for the purposes of the memorandum and articles of association, as amended, unless a question of law is involved. The termination of any proceedings by any judgment, order, settlement, conviction or the entering of a nolle prosequi does not, by itself, create a presumption that the person did not act honestly and in good faith and with a view to the best interests of the company or that the person had reasonable cause to believe that his conduct was unlawful.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We have entered into indemnification agreements with each of our directors and executive officers. Under these agreements, we agree to indemnify our directors and executive officers against certain liabilities and expenses incurred by any such person in connection with claims made by reason of their being a director or officer of our Company. We have purchased the directors’ and officers’ liability insurance for the Company’s directors and officers. </w:t>
      </w:r>
    </w:p>
    <w:tbl>
      <w:tblPr>
        <w:tblW w:w="5440" w:type="dxa"/>
        <w:jc w:val="left"/>
        <w:tblInd w:w="0" w:type="dxa"/>
        <w:tblLayout w:type="fixed"/>
        <w:tblCellMar>
          <w:top w:w="0" w:type="dxa"/>
          <w:left w:w="0" w:type="dxa"/>
          <w:bottom w:w="0" w:type="dxa"/>
          <w:right w:w="0" w:type="dxa"/>
        </w:tblCellMar>
      </w:tblPr>
      <w:tblGrid>
        <w:gridCol w:w="740"/>
        <w:gridCol w:w="4700"/>
      </w:tblGrid>
      <w:tr>
        <w:trPr/>
        <w:tc>
          <w:tcPr>
            <w:tcW w:w="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7.</w:t>
            </w:r>
          </w:p>
        </w:tc>
        <w:tc>
          <w:tcPr>
            <w:tcW w:w="47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RECENT SALES OF UNREGISTERED SECURITIES. </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past three years, our Company has issued securities to certain founding shareholder which were not registered under the Securities Act. We believe that each of the issuances was exempt from registration under the Securities Act in reliance on Section 4(2) of the Securities Act regarding transactions not involving a public offering or in reliance on Regulation S under the Securities Act regarding sales by an issuer in offshore transactions. No underwriters were involved in these issuances of securities. For the history of our share issuances and significant changes in the ownership of our Ordinary Shares, see “</w:t>
      </w:r>
      <w:r>
        <w:rPr>
          <w:rFonts w:ascii="Times New Roman;Times;serif" w:hAnsi="Times New Roman;Times;serif"/>
          <w:i/>
          <w:color w:val="000000"/>
          <w:sz w:val="20"/>
          <w:shd w:fill="FFFFFF" w:val="clear"/>
        </w:rPr>
        <w:t>Description of Share Capital—History of Share Capital</w:t>
      </w:r>
      <w:r>
        <w:rPr>
          <w:rFonts w:ascii="Times New Roman;Times;serif" w:hAnsi="Times New Roman;Times;serif"/>
          <w:color w:val="000000"/>
          <w:sz w:val="20"/>
          <w:shd w:fill="FFFFFF" w:val="clear"/>
        </w:rPr>
        <w:t>” and “</w:t>
      </w:r>
      <w:r>
        <w:rPr>
          <w:rFonts w:ascii="Times New Roman;Times;serif" w:hAnsi="Times New Roman;Times;serif"/>
          <w:i/>
          <w:color w:val="000000"/>
          <w:sz w:val="20"/>
          <w:shd w:fill="FFFFFF" w:val="clear"/>
        </w:rPr>
        <w:t>Principal Shareholders</w:t>
      </w:r>
      <w:r>
        <w:rPr>
          <w:rFonts w:ascii="Times New Roman;Times;serif" w:hAnsi="Times New Roman;Times;serif"/>
          <w:color w:val="000000"/>
          <w:sz w:val="20"/>
          <w:shd w:fill="FFFFFF" w:val="clear"/>
        </w:rPr>
        <w:t xml:space="preserve">.” </w:t>
      </w:r>
    </w:p>
    <w:tbl>
      <w:tblPr>
        <w:tblW w:w="5785" w:type="dxa"/>
        <w:jc w:val="left"/>
        <w:tblInd w:w="0" w:type="dxa"/>
        <w:tblLayout w:type="fixed"/>
        <w:tblCellMar>
          <w:top w:w="0" w:type="dxa"/>
          <w:left w:w="0" w:type="dxa"/>
          <w:bottom w:w="0" w:type="dxa"/>
          <w:right w:w="0" w:type="dxa"/>
        </w:tblCellMar>
      </w:tblPr>
      <w:tblGrid>
        <w:gridCol w:w="740"/>
        <w:gridCol w:w="5045"/>
      </w:tblGrid>
      <w:tr>
        <w:trPr/>
        <w:tc>
          <w:tcPr>
            <w:tcW w:w="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8.</w:t>
            </w:r>
          </w:p>
        </w:tc>
        <w:tc>
          <w:tcPr>
            <w:tcW w:w="50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i/>
                <w:color w:val="000000"/>
                <w:sz w:val="20"/>
              </w:rPr>
              <w:t>EXHIBITS AND FINANCIAL STATEMENT SCHEDULES.</w:t>
            </w:r>
            <w:r>
              <w:rPr>
                <w:rFonts w:ascii="Times New Roman;Times;serif" w:hAnsi="Times New Roman;Times;serif"/>
                <w:b/>
                <w:color w:val="000000"/>
                <w:sz w:val="20"/>
              </w:rPr>
              <w:t xml:space="preserve"> </w:t>
            </w:r>
          </w:p>
        </w:tc>
      </w:tr>
    </w:tbl>
    <w:p>
      <w:pPr>
        <w:pStyle w:val="TextBody"/>
        <w:bidi w:val="0"/>
        <w:spacing w:before="1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(a) Exhibits </w:t>
      </w:r>
    </w:p>
    <w:p>
      <w:pPr>
        <w:pStyle w:val="TextBody"/>
        <w:bidi w:val="0"/>
        <w:spacing w:before="240" w:after="283"/>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EXHIBIT INDEX </w:t>
      </w:r>
    </w:p>
    <w:tbl>
      <w:tblPr>
        <w:tblW w:w="10205" w:type="dxa"/>
        <w:jc w:val="left"/>
        <w:tblInd w:w="0" w:type="dxa"/>
        <w:tblLayout w:type="fixed"/>
        <w:tblCellMar>
          <w:top w:w="0" w:type="dxa"/>
          <w:left w:w="0" w:type="dxa"/>
          <w:bottom w:w="0" w:type="dxa"/>
          <w:right w:w="0" w:type="dxa"/>
        </w:tblCellMar>
      </w:tblPr>
      <w:tblGrid>
        <w:gridCol w:w="325"/>
        <w:gridCol w:w="140"/>
        <w:gridCol w:w="140"/>
        <w:gridCol w:w="9600"/>
      </w:tblGrid>
      <w:tr>
        <w:trPr/>
        <w:tc>
          <w:tcPr>
            <w:tcW w:w="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left"/>
              <w:rPr/>
            </w:pPr>
            <w:r>
              <w:rPr/>
              <w:t> </w:t>
            </w:r>
          </w:p>
        </w:tc>
      </w:tr>
      <w:tr>
        <w:trPr/>
        <w:tc>
          <w:tcPr>
            <w:tcW w:w="32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325" w:type="dxa"/>
            <w:tcBorders/>
            <w:shd w:fill="CCEEFF" w:val="clear"/>
            <w:vAlign w:val="center"/>
          </w:tcPr>
          <w:p>
            <w:pPr>
              <w:pStyle w:val="TableContents"/>
              <w:bidi w:val="0"/>
              <w:spacing w:before="0" w:after="283"/>
              <w:ind w:left="0" w:right="0" w:hanging="0"/>
              <w:jc w:val="left"/>
              <w:rPr/>
            </w:pPr>
            <w:hyperlink w:anchor="ny20075344x1_ex1-1.htm">
              <w:r>
                <w:rPr>
                  <w:rStyle w:val="InternetLink"/>
                  <w:rFonts w:ascii="Times New Roman;Times;serif" w:hAnsi="Times New Roman;Times;serif"/>
                  <w:color w:val="000000"/>
                  <w:sz w:val="20"/>
                </w:rPr>
                <w:t>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Placement Agent Agreement </w:t>
            </w:r>
          </w:p>
        </w:tc>
      </w:tr>
      <w:tr>
        <w:trPr/>
        <w:tc>
          <w:tcPr>
            <w:tcW w:w="325" w:type="dxa"/>
            <w:tcBorders/>
            <w:vAlign w:val="center"/>
          </w:tcPr>
          <w:p>
            <w:pPr>
              <w:pStyle w:val="TableContents"/>
              <w:bidi w:val="0"/>
              <w:spacing w:before="0" w:after="283"/>
              <w:ind w:left="0" w:right="0" w:hanging="0"/>
              <w:jc w:val="left"/>
              <w:rPr/>
            </w:pPr>
            <w:hyperlink r:id="rId17">
              <w:r>
                <w:rPr>
                  <w:rStyle w:val="InternetLink"/>
                  <w:rFonts w:ascii="Times New Roman;Times;serif" w:hAnsi="Times New Roman;Times;serif"/>
                  <w:color w:val="000000"/>
                  <w:sz w:val="20"/>
                </w:rPr>
                <w:t>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Third Amended and Restated Memorandum and Articles of Association of the Company, as currently in effect (incorporated herein by reference to Exhibit 3.2 to the registration statement on Form F-1 (File No. 333-283424), as amended, initially filed with the Securities and Exchange Commission on November 22, 2024) </w:t>
            </w:r>
          </w:p>
        </w:tc>
      </w:tr>
      <w:tr>
        <w:trPr/>
        <w:tc>
          <w:tcPr>
            <w:tcW w:w="325" w:type="dxa"/>
            <w:tcBorders/>
            <w:shd w:fill="CCEEFF" w:val="clear"/>
            <w:vAlign w:val="center"/>
          </w:tcPr>
          <w:p>
            <w:pPr>
              <w:pStyle w:val="TableContents"/>
              <w:bidi w:val="0"/>
              <w:spacing w:before="0" w:after="283"/>
              <w:ind w:left="0" w:right="0" w:hanging="0"/>
              <w:jc w:val="left"/>
              <w:rPr/>
            </w:pPr>
            <w:hyperlink r:id="rId18">
              <w:r>
                <w:rPr>
                  <w:rStyle w:val="InternetLink"/>
                  <w:rFonts w:ascii="Times New Roman;Times;serif" w:hAnsi="Times New Roman;Times;serif"/>
                  <w:color w:val="000000"/>
                  <w:sz w:val="20"/>
                </w:rPr>
                <w:t>4.1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Specimen Certificate for Ordinary Shares (incorporated herein by reference to Exhibit 4.1 to the registration statement on Form F-1 (File No. 333-283424), as amended, initially filed with the Securities and Exchange Commission on November 22, 2024) </w:t>
            </w:r>
          </w:p>
        </w:tc>
      </w:tr>
      <w:tr>
        <w:trPr/>
        <w:tc>
          <w:tcPr>
            <w:tcW w:w="325" w:type="dxa"/>
            <w:tcBorders/>
            <w:vAlign w:val="center"/>
          </w:tcPr>
          <w:p>
            <w:pPr>
              <w:pStyle w:val="TableContents"/>
              <w:bidi w:val="0"/>
              <w:spacing w:before="0" w:after="283"/>
              <w:ind w:left="0" w:right="0" w:hanging="0"/>
              <w:jc w:val="left"/>
              <w:rPr/>
            </w:pPr>
            <w:hyperlink r:id="rId19">
              <w:r>
                <w:rPr>
                  <w:rStyle w:val="InternetLink"/>
                  <w:rFonts w:ascii="Times New Roman;Times;serif" w:hAnsi="Times New Roman;Times;serif"/>
                  <w:color w:val="000000"/>
                  <w:sz w:val="20"/>
                </w:rPr>
                <w:t>4.2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Pre-IPO Shareholders Agreement between the Registrant and other parties thereto dated January 3, 2025 (incorporated herein by reference to Exhibit 4.2 to the Registration Statement on Form F-1 (File No. 333-283424), as amended, initially filed with the Securities and Exchange Commission on November 22, 2024) </w:t>
            </w:r>
          </w:p>
        </w:tc>
      </w:tr>
      <w:tr>
        <w:trPr/>
        <w:tc>
          <w:tcPr>
            <w:tcW w:w="3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0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II-1</w:t>
      </w:r>
    </w:p>
    <w:p>
      <w:pPr>
        <w:pStyle w:val="HorizontalLine"/>
        <w:bidi w:val="0"/>
        <w:spacing w:before="200" w:after="200"/>
        <w:jc w:val="left"/>
        <w:rPr/>
      </w:pPr>
      <w:r>
        <w:rPr/>
      </w:r>
    </w:p>
    <w:p>
      <w:pPr>
        <w:pStyle w:val="TextBody"/>
        <w:bidi w:val="0"/>
        <w:jc w:val="left"/>
        <w:rPr/>
      </w:pPr>
      <w:hyperlink w:anchor="TOC">
        <w:bookmarkStart w:id="123" w:name="ny20075344x1_posam_301-part2_pg2"/>
        <w:bookmarkEnd w:id="123"/>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574"/>
        <w:gridCol w:w="140"/>
        <w:gridCol w:w="140"/>
        <w:gridCol w:w="9351"/>
      </w:tblGrid>
      <w:tr>
        <w:trPr/>
        <w:tc>
          <w:tcPr>
            <w:tcW w:w="57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1" w:type="dxa"/>
            <w:tcBorders/>
            <w:vAlign w:val="center"/>
          </w:tcPr>
          <w:p>
            <w:pPr>
              <w:pStyle w:val="TableContents"/>
              <w:bidi w:val="0"/>
              <w:spacing w:before="0" w:after="0"/>
              <w:jc w:val="left"/>
              <w:rPr/>
            </w:pPr>
            <w:r>
              <w:rPr/>
              <w:t> </w:t>
            </w:r>
          </w:p>
        </w:tc>
      </w:tr>
      <w:tr>
        <w:trPr/>
        <w:tc>
          <w:tcPr>
            <w:tcW w:w="57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574" w:type="dxa"/>
            <w:tcBorders/>
            <w:shd w:fill="CCEEFF" w:val="clear"/>
            <w:vAlign w:val="center"/>
          </w:tcPr>
          <w:p>
            <w:pPr>
              <w:pStyle w:val="TableContents"/>
              <w:bidi w:val="0"/>
              <w:spacing w:before="0" w:after="283"/>
              <w:ind w:left="0" w:right="0" w:hanging="0"/>
              <w:jc w:val="left"/>
              <w:rPr/>
            </w:pPr>
            <w:hyperlink w:anchor="ny20075344x1_ex5-1.htm">
              <w:r>
                <w:rPr>
                  <w:rStyle w:val="InternetLink"/>
                  <w:rFonts w:ascii="Times New Roman;Times;serif" w:hAnsi="Times New Roman;Times;serif"/>
                  <w:color w:val="000000"/>
                  <w:sz w:val="20"/>
                </w:rPr>
                <w:t>5.1*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Carey Olsen Singapore LLP regarding the validity of the Ordinary Shares </w:t>
            </w:r>
          </w:p>
        </w:tc>
      </w:tr>
      <w:tr>
        <w:trPr/>
        <w:tc>
          <w:tcPr>
            <w:tcW w:w="574" w:type="dxa"/>
            <w:tcBorders/>
            <w:vAlign w:val="center"/>
          </w:tcPr>
          <w:p>
            <w:pPr>
              <w:pStyle w:val="TableContents"/>
              <w:bidi w:val="0"/>
              <w:spacing w:before="0" w:after="283"/>
              <w:ind w:left="0" w:right="0" w:hanging="0"/>
              <w:jc w:val="left"/>
              <w:rPr/>
            </w:pPr>
            <w:hyperlink r:id="rId20">
              <w:r>
                <w:rPr>
                  <w:rStyle w:val="InternetLink"/>
                  <w:rFonts w:ascii="Times New Roman;Times;serif" w:hAnsi="Times New Roman;Times;serif"/>
                  <w:color w:val="000000"/>
                  <w:sz w:val="20"/>
                </w:rPr>
                <w:t>10.1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Employment Agreement between the Company and each of its directors and executive officers (incorporated herein by reference to Exhibit 10.1 the Registration Statement on Form F-1 (File No. 333-283424), as amended, initially filed with the Securities and Exchange Commission on November 22, 2024) </w:t>
            </w:r>
          </w:p>
        </w:tc>
      </w:tr>
      <w:tr>
        <w:trPr/>
        <w:tc>
          <w:tcPr>
            <w:tcW w:w="574" w:type="dxa"/>
            <w:tcBorders/>
            <w:shd w:fill="CCEEFF" w:val="clear"/>
            <w:vAlign w:val="center"/>
          </w:tcPr>
          <w:p>
            <w:pPr>
              <w:pStyle w:val="TableContents"/>
              <w:bidi w:val="0"/>
              <w:spacing w:before="0" w:after="283"/>
              <w:ind w:left="0" w:right="0" w:hanging="0"/>
              <w:jc w:val="left"/>
              <w:rPr/>
            </w:pPr>
            <w:hyperlink r:id="rId21">
              <w:r>
                <w:rPr>
                  <w:rStyle w:val="InternetLink"/>
                  <w:rFonts w:ascii="Times New Roman;Times;serif" w:hAnsi="Times New Roman;Times;serif"/>
                  <w:color w:val="000000"/>
                  <w:sz w:val="20"/>
                </w:rPr>
                <w:t>10.2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Indemnification Agreement between the Company and each of its directors and executive officers (incorporated herein by reference to Exhibit 10.2 to the Registration Statement on Form F-1 (File No. 333-283424), as amended, initially filed with the Securities and Exchange Commission on November 22, 2024) </w:t>
            </w:r>
          </w:p>
        </w:tc>
      </w:tr>
      <w:tr>
        <w:trPr/>
        <w:tc>
          <w:tcPr>
            <w:tcW w:w="574" w:type="dxa"/>
            <w:tcBorders/>
            <w:vAlign w:val="center"/>
          </w:tcPr>
          <w:p>
            <w:pPr>
              <w:pStyle w:val="TableContents"/>
              <w:bidi w:val="0"/>
              <w:spacing w:before="0" w:after="283"/>
              <w:ind w:left="0" w:right="0" w:hanging="0"/>
              <w:jc w:val="left"/>
              <w:rPr/>
            </w:pPr>
            <w:hyperlink r:id="rId22">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Global Equity Incentive Plan (incorporated herein by reference to Exhibit 10.6 to the Registration Statement on Form F-1 (File No. 333-283424), as amended, initially filed with the Securities and Exchange Commission on November 22, 2024) </w:t>
            </w:r>
          </w:p>
        </w:tc>
      </w:tr>
      <w:tr>
        <w:trPr/>
        <w:tc>
          <w:tcPr>
            <w:tcW w:w="574" w:type="dxa"/>
            <w:tcBorders/>
            <w:shd w:fill="CCEEFF" w:val="clear"/>
            <w:vAlign w:val="center"/>
          </w:tcPr>
          <w:p>
            <w:pPr>
              <w:pStyle w:val="TableContents"/>
              <w:bidi w:val="0"/>
              <w:spacing w:before="0" w:after="283"/>
              <w:ind w:left="0" w:right="0" w:hanging="0"/>
              <w:jc w:val="left"/>
              <w:rPr/>
            </w:pPr>
            <w:hyperlink w:anchor="ny20075344x1_ex10-4.htm">
              <w:r>
                <w:rPr>
                  <w:rStyle w:val="InternetLink"/>
                  <w:rFonts w:ascii="Times New Roman;Times;serif" w:hAnsi="Times New Roman;Times;serif"/>
                  <w:color w:val="000000"/>
                  <w:sz w:val="20"/>
                </w:rPr>
                <w:t>10.4*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Securities Purchase Agreement </w:t>
            </w:r>
          </w:p>
        </w:tc>
      </w:tr>
      <w:tr>
        <w:trPr/>
        <w:tc>
          <w:tcPr>
            <w:tcW w:w="574" w:type="dxa"/>
            <w:tcBorders/>
            <w:vAlign w:val="center"/>
          </w:tcPr>
          <w:p>
            <w:pPr>
              <w:pStyle w:val="TableContents"/>
              <w:bidi w:val="0"/>
              <w:spacing w:before="0" w:after="283"/>
              <w:ind w:left="0" w:right="0" w:hanging="0"/>
              <w:jc w:val="left"/>
              <w:rPr/>
            </w:pPr>
            <w:hyperlink r:id="rId23">
              <w:r>
                <w:rPr>
                  <w:rStyle w:val="InternetLink"/>
                  <w:rFonts w:ascii="Times New Roman;Times;serif" w:hAnsi="Times New Roman;Times;serif"/>
                  <w:color w:val="000000"/>
                  <w:sz w:val="20"/>
                </w:rPr>
                <w:t>16.1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Letter from MaloneBailey, LLP regarding change in registrant’s certifying accountant (incorporated herein by reference to Exhibit 16.1 to the Registration Statement on Form F-1 (File No. 333-283424), as amended, initially filed with the Securities and Exchange Commission on November 22, 2024) </w:t>
            </w:r>
          </w:p>
        </w:tc>
      </w:tr>
      <w:tr>
        <w:trPr/>
        <w:tc>
          <w:tcPr>
            <w:tcW w:w="574" w:type="dxa"/>
            <w:tcBorders/>
            <w:shd w:fill="CCEEFF" w:val="clear"/>
            <w:vAlign w:val="center"/>
          </w:tcPr>
          <w:p>
            <w:pPr>
              <w:pStyle w:val="TableContents"/>
              <w:bidi w:val="0"/>
              <w:spacing w:before="0" w:after="283"/>
              <w:ind w:left="0" w:right="0" w:hanging="0"/>
              <w:jc w:val="left"/>
              <w:rPr/>
            </w:pPr>
            <w:hyperlink w:anchor="ny20075344x1_ex21-1.htm">
              <w:r>
                <w:rPr>
                  <w:rStyle w:val="InternetLink"/>
                  <w:rFonts w:ascii="Times New Roman;Times;serif" w:hAnsi="Times New Roman;Times;serif"/>
                  <w:color w:val="000000"/>
                  <w:sz w:val="20"/>
                </w:rPr>
                <w:t>21.1*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List of subsidiaries of the Registrant </w:t>
            </w:r>
          </w:p>
        </w:tc>
      </w:tr>
      <w:tr>
        <w:trPr/>
        <w:tc>
          <w:tcPr>
            <w:tcW w:w="574" w:type="dxa"/>
            <w:tcBorders/>
            <w:vAlign w:val="center"/>
          </w:tcPr>
          <w:p>
            <w:pPr>
              <w:pStyle w:val="TableContents"/>
              <w:bidi w:val="0"/>
              <w:spacing w:before="0" w:after="283"/>
              <w:ind w:left="0" w:right="0" w:hanging="0"/>
              <w:jc w:val="left"/>
              <w:rPr/>
            </w:pPr>
            <w:hyperlink w:anchor="ny20075344x1_ex23-1.htm">
              <w:r>
                <w:rPr>
                  <w:rStyle w:val="InternetLink"/>
                  <w:rFonts w:ascii="Times New Roman;Times;serif" w:hAnsi="Times New Roman;Times;serif"/>
                  <w:color w:val="000000"/>
                  <w:sz w:val="20"/>
                </w:rPr>
                <w:t>23.1*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UHY LLP </w:t>
            </w:r>
          </w:p>
        </w:tc>
      </w:tr>
      <w:tr>
        <w:trPr/>
        <w:tc>
          <w:tcPr>
            <w:tcW w:w="574" w:type="dxa"/>
            <w:tcBorders/>
            <w:shd w:fill="CCEEFF" w:val="clear"/>
            <w:vAlign w:val="center"/>
          </w:tcPr>
          <w:p>
            <w:pPr>
              <w:pStyle w:val="TableContents"/>
              <w:bidi w:val="0"/>
              <w:spacing w:before="0" w:after="283"/>
              <w:ind w:left="0" w:right="0" w:hanging="0"/>
              <w:jc w:val="left"/>
              <w:rPr/>
            </w:pPr>
            <w:hyperlink w:anchor="ny20075344x1_ex5-1.htm">
              <w:r>
                <w:rPr>
                  <w:rStyle w:val="InternetLink"/>
                  <w:rFonts w:ascii="Times New Roman;Times;serif" w:hAnsi="Times New Roman;Times;serif"/>
                  <w:color w:val="000000"/>
                  <w:sz w:val="20"/>
                </w:rPr>
                <w:t>23.2*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Carey Olsen Singapore LLP (included in Exhibit 5.1) </w:t>
            </w:r>
          </w:p>
        </w:tc>
      </w:tr>
      <w:tr>
        <w:trPr/>
        <w:tc>
          <w:tcPr>
            <w:tcW w:w="574" w:type="dxa"/>
            <w:tcBorders/>
            <w:vAlign w:val="center"/>
          </w:tcPr>
          <w:p>
            <w:pPr>
              <w:pStyle w:val="TableContents"/>
              <w:bidi w:val="0"/>
              <w:spacing w:before="0" w:after="283"/>
              <w:ind w:left="0" w:right="0" w:hanging="0"/>
              <w:jc w:val="left"/>
              <w:rPr/>
            </w:pPr>
            <w:hyperlink w:anchor="ny20075344x1_ex23-3.htm">
              <w:r>
                <w:rPr>
                  <w:rStyle w:val="InternetLink"/>
                  <w:rFonts w:ascii="Times New Roman;Times;serif" w:hAnsi="Times New Roman;Times;serif"/>
                  <w:color w:val="000000"/>
                  <w:sz w:val="20"/>
                </w:rPr>
                <w:t>23.3*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Global Law Office </w:t>
            </w:r>
          </w:p>
        </w:tc>
      </w:tr>
      <w:tr>
        <w:trPr/>
        <w:tc>
          <w:tcPr>
            <w:tcW w:w="574" w:type="dxa"/>
            <w:tcBorders/>
            <w:shd w:fill="CCEEFF" w:val="clear"/>
            <w:vAlign w:val="center"/>
          </w:tcPr>
          <w:p>
            <w:pPr>
              <w:pStyle w:val="TableContents"/>
              <w:bidi w:val="0"/>
              <w:spacing w:before="0" w:after="283"/>
              <w:ind w:left="0" w:right="0" w:hanging="0"/>
              <w:jc w:val="left"/>
              <w:rPr/>
            </w:pPr>
            <w:hyperlink w:anchor="ny20075344x1_ex23-4.htm">
              <w:r>
                <w:rPr>
                  <w:rStyle w:val="InternetLink"/>
                  <w:rFonts w:ascii="Times New Roman;Times;serif" w:hAnsi="Times New Roman;Times;serif"/>
                  <w:color w:val="000000"/>
                  <w:sz w:val="20"/>
                </w:rPr>
                <w:t>23.4*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Han Kun Law Offices LLP </w:t>
            </w:r>
          </w:p>
        </w:tc>
      </w:tr>
      <w:tr>
        <w:trPr/>
        <w:tc>
          <w:tcPr>
            <w:tcW w:w="574" w:type="dxa"/>
            <w:tcBorders/>
            <w:vAlign w:val="center"/>
          </w:tcPr>
          <w:p>
            <w:pPr>
              <w:pStyle w:val="TableContents"/>
              <w:bidi w:val="0"/>
              <w:spacing w:before="0" w:after="283"/>
              <w:ind w:left="0" w:right="0" w:hanging="0"/>
              <w:jc w:val="left"/>
              <w:rPr/>
            </w:pPr>
            <w:hyperlink w:anchor="tPOA">
              <w:r>
                <w:rPr>
                  <w:rStyle w:val="InternetLink"/>
                  <w:rFonts w:ascii="Times New Roman;Times;serif" w:hAnsi="Times New Roman;Times;serif"/>
                  <w:color w:val="000000"/>
                  <w:sz w:val="20"/>
                </w:rPr>
                <w:t>24.1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Powers of Attorney (included on signature page) </w:t>
            </w:r>
          </w:p>
        </w:tc>
      </w:tr>
      <w:tr>
        <w:trPr/>
        <w:tc>
          <w:tcPr>
            <w:tcW w:w="574" w:type="dxa"/>
            <w:tcBorders/>
            <w:shd w:fill="CCEEFF" w:val="clear"/>
            <w:vAlign w:val="center"/>
          </w:tcPr>
          <w:p>
            <w:pPr>
              <w:pStyle w:val="TableContents"/>
              <w:bidi w:val="0"/>
              <w:spacing w:before="0" w:after="283"/>
              <w:ind w:left="0" w:right="0" w:hanging="0"/>
              <w:jc w:val="left"/>
              <w:rPr/>
            </w:pPr>
            <w:hyperlink r:id="rId24">
              <w:r>
                <w:rPr>
                  <w:rStyle w:val="InternetLink"/>
                  <w:rFonts w:ascii="Times New Roman;Times;serif" w:hAnsi="Times New Roman;Times;serif"/>
                  <w:color w:val="000000"/>
                  <w:sz w:val="20"/>
                </w:rPr>
                <w:t>99.1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Code of Business Conduct and Ethics (incorporated herein by reference to Exhibit 14.1 to the Registration Statement on Form F-1 (File No. 333-283424), as amended, initially filed with the Securities and Exchange Commission on November 22, 2024) </w:t>
            </w:r>
          </w:p>
        </w:tc>
      </w:tr>
      <w:tr>
        <w:trPr/>
        <w:tc>
          <w:tcPr>
            <w:tcW w:w="5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101.INS*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Inline XBRL Instance Document</w:t>
            </w:r>
          </w:p>
        </w:tc>
      </w:tr>
      <w:tr>
        <w:trPr/>
        <w:tc>
          <w:tcPr>
            <w:tcW w:w="5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101.SCH*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Inline XBRL Taxonomy Extension Schema Document</w:t>
            </w:r>
          </w:p>
        </w:tc>
      </w:tr>
      <w:tr>
        <w:trPr/>
        <w:tc>
          <w:tcPr>
            <w:tcW w:w="5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Inline XBRL Taxonomy Extension Calculation Linkbase Document</w:t>
            </w:r>
          </w:p>
        </w:tc>
      </w:tr>
      <w:tr>
        <w:trPr/>
        <w:tc>
          <w:tcPr>
            <w:tcW w:w="5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101.DEF*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Inline XBRL Taxonomy Definition Linkbase Document</w:t>
            </w:r>
          </w:p>
        </w:tc>
      </w:tr>
      <w:tr>
        <w:trPr/>
        <w:tc>
          <w:tcPr>
            <w:tcW w:w="5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101.LAB*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Inline XBRL Taxonomy Extension Label Linkbase Document</w:t>
            </w:r>
          </w:p>
        </w:tc>
      </w:tr>
      <w:tr>
        <w:trPr/>
        <w:tc>
          <w:tcPr>
            <w:tcW w:w="57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101.PRE*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Inline XBRL Taxonomy Extension Presentation Linkbase Document</w:t>
            </w:r>
          </w:p>
        </w:tc>
      </w:tr>
      <w:tr>
        <w:trPr/>
        <w:tc>
          <w:tcPr>
            <w:tcW w:w="57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Cover Page Interactive Data File (formatted as Inline XBRL and contained in Exhibit 101)</w:t>
            </w:r>
          </w:p>
        </w:tc>
      </w:tr>
      <w:tr>
        <w:trPr/>
        <w:tc>
          <w:tcPr>
            <w:tcW w:w="574" w:type="dxa"/>
            <w:tcBorders/>
            <w:shd w:fill="CCEEFF" w:val="clear"/>
            <w:vAlign w:val="center"/>
          </w:tcPr>
          <w:p>
            <w:pPr>
              <w:pStyle w:val="TableContents"/>
              <w:bidi w:val="0"/>
              <w:spacing w:before="0" w:after="283"/>
              <w:ind w:left="0" w:right="0" w:hanging="0"/>
              <w:jc w:val="left"/>
              <w:rPr/>
            </w:pPr>
            <w:hyperlink w:anchor="ny20075344x1_ex107.htm">
              <w:r>
                <w:rPr>
                  <w:rStyle w:val="InternetLink"/>
                  <w:rFonts w:ascii="Times New Roman;Times;serif" w:hAnsi="Times New Roman;Times;serif"/>
                  <w:color w:val="000080"/>
                  <w:sz w:val="20"/>
                </w:rPr>
                <w:t>107*</w:t>
              </w:r>
            </w:hyperlink>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Table</w:t>
            </w:r>
          </w:p>
        </w:tc>
      </w:tr>
      <w:tr>
        <w:trPr/>
        <w:tc>
          <w:tcPr>
            <w:tcW w:w="57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1" w:type="dxa"/>
            <w:tcBorders/>
            <w:shd w:fill="CCEEFF" w:val="clear"/>
            <w:vAlign w:val="center"/>
          </w:tcPr>
          <w:p>
            <w:pPr>
              <w:pStyle w:val="TableContents"/>
              <w:bidi w:val="0"/>
              <w:spacing w:before="0" w:after="0"/>
              <w:jc w:val="left"/>
              <w:rPr/>
            </w:pPr>
            <w:r>
              <w:rPr/>
              <w:t> </w:t>
            </w:r>
          </w:p>
        </w:tc>
      </w:tr>
    </w:tbl>
    <w:tbl>
      <w:tblPr>
        <w:tblW w:w="1165" w:type="dxa"/>
        <w:jc w:val="left"/>
        <w:tblInd w:w="0" w:type="dxa"/>
        <w:tblLayout w:type="fixed"/>
        <w:tblCellMar>
          <w:top w:w="0" w:type="dxa"/>
          <w:left w:w="0" w:type="dxa"/>
          <w:bottom w:w="0" w:type="dxa"/>
          <w:right w:w="0" w:type="dxa"/>
        </w:tblCellMar>
      </w:tblPr>
      <w:tblGrid>
        <w:gridCol w:w="110"/>
        <w:gridCol w:w="105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herewith </w:t>
            </w:r>
          </w:p>
        </w:tc>
      </w:tr>
    </w:tbl>
    <w:tbl>
      <w:tblPr>
        <w:tblW w:w="1315" w:type="dxa"/>
        <w:jc w:val="left"/>
        <w:tblInd w:w="0" w:type="dxa"/>
        <w:tblLayout w:type="fixed"/>
        <w:tblCellMar>
          <w:top w:w="0" w:type="dxa"/>
          <w:left w:w="0" w:type="dxa"/>
          <w:bottom w:w="0" w:type="dxa"/>
          <w:right w:w="0" w:type="dxa"/>
        </w:tblCellMar>
      </w:tblPr>
      <w:tblGrid>
        <w:gridCol w:w="200"/>
        <w:gridCol w:w="111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Previously filed</w:t>
            </w:r>
          </w:p>
        </w:tc>
      </w:tr>
    </w:tbl>
    <w:p>
      <w:pPr>
        <w:pStyle w:val="TextBody"/>
        <w:bidi w:val="0"/>
        <w:spacing w:before="240" w:after="283"/>
        <w:ind w:left="0" w:right="0" w:hanging="0"/>
        <w:jc w:val="left"/>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(b) Financial Statement Schedules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Schedules have been omitted because the information required to be set forth therein is not applicable or is shown in the Consolidated Financial Statements or the Notes thereto. </w:t>
      </w:r>
    </w:p>
    <w:tbl>
      <w:tblPr>
        <w:tblW w:w="2365" w:type="dxa"/>
        <w:jc w:val="left"/>
        <w:tblInd w:w="0" w:type="dxa"/>
        <w:tblLayout w:type="fixed"/>
        <w:tblCellMar>
          <w:top w:w="0" w:type="dxa"/>
          <w:left w:w="0" w:type="dxa"/>
          <w:bottom w:w="0" w:type="dxa"/>
          <w:right w:w="0" w:type="dxa"/>
        </w:tblCellMar>
      </w:tblPr>
      <w:tblGrid>
        <w:gridCol w:w="740"/>
        <w:gridCol w:w="1625"/>
      </w:tblGrid>
      <w:tr>
        <w:trPr/>
        <w:tc>
          <w:tcPr>
            <w:tcW w:w="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9.</w:t>
            </w:r>
          </w:p>
        </w:tc>
        <w:tc>
          <w:tcPr>
            <w:tcW w:w="16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i/>
                <w:color w:val="000000"/>
                <w:sz w:val="20"/>
              </w:rPr>
              <w:t>UNDERTAKINGS.</w:t>
            </w:r>
            <w:r>
              <w:rPr>
                <w:rFonts w:ascii="Times New Roman;Times;serif" w:hAnsi="Times New Roman;Times;serif"/>
                <w:b/>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Insofar as indemnification for liabilities arising under the Securities Act may be permitted to directors, officers and controlling persons of the registrant pursuant to the provisions described in Item 6,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II-2</w:t>
      </w:r>
    </w:p>
    <w:p>
      <w:pPr>
        <w:pStyle w:val="HorizontalLine"/>
        <w:bidi w:val="0"/>
        <w:spacing w:before="200" w:after="200"/>
        <w:jc w:val="left"/>
        <w:rPr/>
      </w:pPr>
      <w:r>
        <w:rPr/>
      </w:r>
    </w:p>
    <w:p>
      <w:pPr>
        <w:pStyle w:val="TextBody"/>
        <w:bidi w:val="0"/>
        <w:jc w:val="left"/>
        <w:rPr/>
      </w:pPr>
      <w:hyperlink w:anchor="TOC">
        <w:bookmarkStart w:id="124" w:name="ny20075344x1_posam_301-part2_pg3"/>
        <w:bookmarkEnd w:id="124"/>
        <w:r>
          <w:rPr>
            <w:rStyle w:val="InternetLink"/>
            <w:rFonts w:ascii="Times New Roman;Times;Serif" w:hAnsi="Times New Roman;Times;Serif"/>
            <w:b/>
            <w:caps w:val="false"/>
            <w:smallCaps w:val="false"/>
            <w:color w:val="000000"/>
            <w:sz w:val="16"/>
            <w:shd w:fill="FFFFFF" w:val="clear"/>
          </w:rPr>
          <w:t>TABLE OF CONTENTS</w:t>
        </w:r>
      </w:hyperlink>
    </w:p>
    <w:tbl>
      <w:tblPr>
        <w:tblW w:w="4420" w:type="dxa"/>
        <w:jc w:val="left"/>
        <w:tblInd w:w="0" w:type="dxa"/>
        <w:tblLayout w:type="fixed"/>
        <w:tblCellMar>
          <w:top w:w="0" w:type="dxa"/>
          <w:left w:w="0" w:type="dxa"/>
          <w:bottom w:w="0" w:type="dxa"/>
          <w:right w:w="0" w:type="dxa"/>
        </w:tblCellMar>
      </w:tblPr>
      <w:tblGrid>
        <w:gridCol w:w="230"/>
        <w:gridCol w:w="419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that: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6415" w:type="dxa"/>
        <w:jc w:val="left"/>
        <w:tblInd w:w="0" w:type="dxa"/>
        <w:tblLayout w:type="fixed"/>
        <w:tblCellMar>
          <w:top w:w="0" w:type="dxa"/>
          <w:left w:w="0" w:type="dxa"/>
          <w:bottom w:w="0" w:type="dxa"/>
          <w:right w:w="0" w:type="dxa"/>
        </w:tblCellMar>
      </w:tblPr>
      <w:tblGrid>
        <w:gridCol w:w="200"/>
        <w:gridCol w:w="621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6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the registration statement or any material change to such information in the registration statement; provided, however, that paragraphs (a)(1)(i), (a)(1)(ii) and (a)(1)(iii)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offerings.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(15 U.S.C. 77j(a)(3))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w:t>
            </w:r>
          </w:p>
        </w:tc>
      </w:tr>
    </w:tbl>
    <w:tbl>
      <w:tblPr>
        <w:tblW w:w="7300" w:type="dxa"/>
        <w:jc w:val="left"/>
        <w:tblInd w:w="0" w:type="dxa"/>
        <w:tblLayout w:type="fixed"/>
        <w:tblCellMar>
          <w:top w:w="0" w:type="dxa"/>
          <w:left w:w="0" w:type="dxa"/>
          <w:bottom w:w="0" w:type="dxa"/>
          <w:right w:w="0" w:type="dxa"/>
        </w:tblCellMar>
      </w:tblPr>
      <w:tblGrid>
        <w:gridCol w:w="245"/>
        <w:gridCol w:w="705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7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to any purchaser: </w:t>
            </w:r>
          </w:p>
        </w:tc>
      </w:tr>
    </w:tbl>
    <w:tbl>
      <w:tblPr>
        <w:tblW w:w="3250" w:type="dxa"/>
        <w:jc w:val="left"/>
        <w:tblInd w:w="0" w:type="dxa"/>
        <w:tblLayout w:type="fixed"/>
        <w:tblCellMar>
          <w:top w:w="0" w:type="dxa"/>
          <w:left w:w="0" w:type="dxa"/>
          <w:bottom w:w="0" w:type="dxa"/>
          <w:right w:w="0" w:type="dxa"/>
        </w:tblCellMar>
      </w:tblPr>
      <w:tblGrid>
        <w:gridCol w:w="200"/>
        <w:gridCol w:w="30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3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the issuer is relying on Rule 430B: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prospectus filed by the undersigned issuer pursuant to Rule 424(b)(3) shall be deemed to be part of the registration statement as of the date the filed prospectus was deemed part of and included in the registration statement; and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offerings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II-3</w:t>
      </w:r>
    </w:p>
    <w:p>
      <w:pPr>
        <w:pStyle w:val="HorizontalLine"/>
        <w:bidi w:val="0"/>
        <w:spacing w:before="200" w:after="200"/>
        <w:jc w:val="left"/>
        <w:rPr/>
      </w:pPr>
      <w:r>
        <w:rPr/>
      </w:r>
    </w:p>
    <w:p>
      <w:pPr>
        <w:pStyle w:val="TextBody"/>
        <w:bidi w:val="0"/>
        <w:jc w:val="left"/>
        <w:rPr/>
      </w:pPr>
      <w:hyperlink w:anchor="TOC">
        <w:bookmarkStart w:id="125" w:name="ny20075344x1_posam_301-part2_pg4"/>
        <w:bookmarkEnd w:id="12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200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issuer is relying on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preliminary prospectus or prospectus of the undersigned Registrant relating to the offerings required to be filed pursuant to Rule 424;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free writing prospectus relating to the offerings prepared by or on behalf of the undersigned Registrant or used or referred to by the undersigned Registrant; </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portion of any other free writing prospectus relating to the offerings containing material information about the undersigned Registrant or its securities provided by or on behalf of the undersigned Registrant; and </w:t>
            </w:r>
          </w:p>
        </w:tc>
      </w:tr>
    </w:tbl>
    <w:tbl>
      <w:tblPr>
        <w:tblW w:w="9280" w:type="dxa"/>
        <w:jc w:val="left"/>
        <w:tblInd w:w="0" w:type="dxa"/>
        <w:tblLayout w:type="fixed"/>
        <w:tblCellMar>
          <w:top w:w="0" w:type="dxa"/>
          <w:left w:w="0" w:type="dxa"/>
          <w:bottom w:w="0" w:type="dxa"/>
          <w:right w:w="0" w:type="dxa"/>
        </w:tblCellMar>
      </w:tblPr>
      <w:tblGrid>
        <w:gridCol w:w="305"/>
        <w:gridCol w:w="897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communication that is an offer in the offerings made by the undersigned Registrant to the purchaser. </w:t>
            </w:r>
          </w:p>
        </w:tc>
      </w:tr>
    </w:tbl>
    <w:tbl>
      <w:tblPr>
        <w:tblW w:w="4510" w:type="dxa"/>
        <w:jc w:val="left"/>
        <w:tblInd w:w="0" w:type="dxa"/>
        <w:tblLayout w:type="fixed"/>
        <w:tblCellMar>
          <w:top w:w="0" w:type="dxa"/>
          <w:left w:w="0" w:type="dxa"/>
          <w:bottom w:w="0" w:type="dxa"/>
          <w:right w:w="0" w:type="dxa"/>
        </w:tblCellMar>
      </w:tblPr>
      <w:tblGrid>
        <w:gridCol w:w="245"/>
        <w:gridCol w:w="426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that: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II-4</w:t>
      </w:r>
    </w:p>
    <w:p>
      <w:pPr>
        <w:pStyle w:val="HorizontalLine"/>
        <w:bidi w:val="0"/>
        <w:spacing w:before="200" w:after="200"/>
        <w:jc w:val="left"/>
        <w:rPr/>
      </w:pPr>
      <w:r>
        <w:rPr/>
      </w:r>
    </w:p>
    <w:p>
      <w:pPr>
        <w:pStyle w:val="TextBody"/>
        <w:bidi w:val="0"/>
        <w:jc w:val="left"/>
        <w:rPr/>
      </w:pPr>
      <w:hyperlink w:anchor="TOC">
        <w:bookmarkStart w:id="126" w:name="ny20075344x1_posam_302-sig_pg1"/>
        <w:bookmarkEnd w:id="12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bookmarkStart w:id="127" w:name="tSIG"/>
      <w:bookmarkEnd w:id="127"/>
      <w:r>
        <w:rPr>
          <w:rFonts w:ascii="Times New Roman;Times;serif" w:hAnsi="Times New Roman;Times;serif"/>
          <w:b/>
          <w:color w:val="000000"/>
          <w:sz w:val="20"/>
          <w:shd w:fill="FFFFFF" w:val="clear"/>
        </w:rPr>
        <w:t xml:space="preserve">SIGNATURES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Hong Kong, on June 9, 2026. </w:t>
      </w:r>
    </w:p>
    <w:tbl>
      <w:tblPr>
        <w:tblW w:w="468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36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50"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Waton Financial Limited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WEN Huaxin</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WEN Huaxin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(Principal Accounting and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0" w:type="dxa"/>
            <w:tcBorders/>
            <w:vAlign w:val="center"/>
          </w:tcPr>
          <w:p>
            <w:pPr>
              <w:pStyle w:val="TableContents"/>
              <w:bidi w:val="0"/>
              <w:spacing w:before="0" w:after="0"/>
              <w:jc w:val="left"/>
              <w:rPr/>
            </w:pPr>
            <w:r>
              <w:rPr/>
              <w:t> </w:t>
            </w:r>
          </w:p>
        </w:tc>
      </w:tr>
    </w:tbl>
    <w:p>
      <w:pPr>
        <w:pStyle w:val="TextBody"/>
        <w:bidi w:val="0"/>
        <w:spacing w:before="300" w:after="283"/>
        <w:jc w:val="center"/>
        <w:rPr>
          <w:rFonts w:ascii="Times New Roman;Times;serif" w:hAnsi="Times New Roman;Times;serif"/>
          <w:b/>
          <w:color w:val="000000"/>
          <w:sz w:val="20"/>
          <w:shd w:fill="FFFFFF" w:val="clear"/>
        </w:rPr>
      </w:pPr>
      <w:bookmarkStart w:id="128" w:name="tPOA"/>
      <w:bookmarkEnd w:id="128"/>
      <w:r>
        <w:rPr>
          <w:rFonts w:ascii="Times New Roman;Times;serif" w:hAnsi="Times New Roman;Times;serif"/>
          <w:b/>
          <w:color w:val="000000"/>
          <w:sz w:val="20"/>
          <w:shd w:fill="FFFFFF" w:val="clear"/>
        </w:rPr>
        <w:t xml:space="preserve">Powers of Attorney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Each person whose signature appears below constitutes and appoints each of WEN Huaxin and ZHOU Kai as attorneys-in-fact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U.S. Securities and Exchange Commission thereunder, in connection with the registration under the Securities Act of securities of the registrant, including, without limitation, the power and authority to sign the name of each of the undersigned in the capacities indicated below to the Registration Statement on Form F-1 (the “Registration Statement”) to be filed with the U.S. Securities and Exchange Commission with respect to such securities,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the requirements of the Securities Act of 1933, this registration statement has been signed by the following persons in the capacities and on the dates indicated. </w:t>
      </w:r>
    </w:p>
    <w:tbl>
      <w:tblPr>
        <w:tblW w:w="7745" w:type="dxa"/>
        <w:jc w:val="left"/>
        <w:tblInd w:w="0" w:type="dxa"/>
        <w:tblLayout w:type="fixed"/>
        <w:tblCellMar>
          <w:top w:w="0" w:type="dxa"/>
          <w:left w:w="0" w:type="dxa"/>
          <w:bottom w:w="0" w:type="dxa"/>
          <w:right w:w="0" w:type="dxa"/>
        </w:tblCellMar>
      </w:tblPr>
      <w:tblGrid>
        <w:gridCol w:w="2390"/>
        <w:gridCol w:w="140"/>
        <w:gridCol w:w="140"/>
        <w:gridCol w:w="3680"/>
        <w:gridCol w:w="140"/>
        <w:gridCol w:w="140"/>
        <w:gridCol w:w="1115"/>
      </w:tblGrid>
      <w:tr>
        <w:trPr/>
        <w:tc>
          <w:tcPr>
            <w:tcW w:w="23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r>
        <w:trPr/>
        <w:tc>
          <w:tcPr>
            <w:tcW w:w="23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23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23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ZHOU Kai</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68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Technology Officer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Chairman of the Board of Directors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(Principal Executive Officer) </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9, 2026 </w:t>
            </w:r>
          </w:p>
        </w:tc>
      </w:tr>
      <w:tr>
        <w:trPr/>
        <w:tc>
          <w:tcPr>
            <w:tcW w:w="23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ZHOU Kai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5" w:type="dxa"/>
            <w:vMerge w:val="continue"/>
            <w:tcBorders/>
            <w:vAlign w:val="center"/>
          </w:tcPr>
          <w:p>
            <w:pPr>
              <w:pStyle w:val="Normal"/>
              <w:bidi w:val="0"/>
              <w:jc w:val="left"/>
              <w:rPr/>
            </w:pPr>
            <w:r>
              <w:rPr/>
            </w:r>
          </w:p>
        </w:tc>
      </w:tr>
      <w:tr>
        <w:trPr/>
        <w:tc>
          <w:tcPr>
            <w:tcW w:w="23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23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WEN Huaxin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68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(Principal Accounting and Financial Officer) </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9, 2026 </w:t>
            </w:r>
          </w:p>
        </w:tc>
      </w:tr>
      <w:tr>
        <w:trPr/>
        <w:tc>
          <w:tcPr>
            <w:tcW w:w="23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WEN Huaxin </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5" w:type="dxa"/>
            <w:vMerge w:val="continue"/>
            <w:tcBorders/>
            <w:vAlign w:val="center"/>
          </w:tcPr>
          <w:p>
            <w:pPr>
              <w:pStyle w:val="Normal"/>
              <w:bidi w:val="0"/>
              <w:jc w:val="left"/>
              <w:rPr/>
            </w:pPr>
            <w:r>
              <w:rPr/>
            </w:r>
          </w:p>
        </w:tc>
      </w:tr>
      <w:tr>
        <w:trPr/>
        <w:tc>
          <w:tcPr>
            <w:tcW w:w="23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23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CHU Chun On Franco</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68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and Director </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9, 2026 </w:t>
            </w:r>
          </w:p>
        </w:tc>
      </w:tr>
      <w:tr>
        <w:trPr/>
        <w:tc>
          <w:tcPr>
            <w:tcW w:w="23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 CHU Chun On Franco</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5" w:type="dxa"/>
            <w:vMerge w:val="continue"/>
            <w:tcBorders/>
            <w:vAlign w:val="center"/>
          </w:tcPr>
          <w:p>
            <w:pPr>
              <w:pStyle w:val="Normal"/>
              <w:bidi w:val="0"/>
              <w:jc w:val="left"/>
              <w:rPr/>
            </w:pPr>
            <w:r>
              <w:rPr/>
            </w:r>
          </w:p>
        </w:tc>
      </w:tr>
      <w:tr>
        <w:trPr/>
        <w:tc>
          <w:tcPr>
            <w:tcW w:w="23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23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FUNG Chi Kin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68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Independent 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9, 2026 </w:t>
            </w:r>
          </w:p>
        </w:tc>
      </w:tr>
      <w:tr>
        <w:trPr/>
        <w:tc>
          <w:tcPr>
            <w:tcW w:w="23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 FUNG Chi Kin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5" w:type="dxa"/>
            <w:vMerge w:val="continue"/>
            <w:tcBorders/>
            <w:vAlign w:val="center"/>
          </w:tcPr>
          <w:p>
            <w:pPr>
              <w:pStyle w:val="Normal"/>
              <w:bidi w:val="0"/>
              <w:jc w:val="left"/>
              <w:rPr/>
            </w:pPr>
            <w:r>
              <w:rPr/>
            </w:r>
          </w:p>
        </w:tc>
      </w:tr>
      <w:tr>
        <w:trPr/>
        <w:tc>
          <w:tcPr>
            <w:tcW w:w="23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23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DU Haibo</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68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Independent 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9, 2026 </w:t>
            </w:r>
          </w:p>
        </w:tc>
      </w:tr>
      <w:tr>
        <w:trPr/>
        <w:tc>
          <w:tcPr>
            <w:tcW w:w="23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 DU Haibo</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5" w:type="dxa"/>
            <w:vMerge w:val="continue"/>
            <w:tcBorders/>
            <w:vAlign w:val="center"/>
          </w:tcPr>
          <w:p>
            <w:pPr>
              <w:pStyle w:val="Normal"/>
              <w:bidi w:val="0"/>
              <w:jc w:val="left"/>
              <w:rPr/>
            </w:pPr>
            <w:r>
              <w:rPr/>
            </w:r>
          </w:p>
        </w:tc>
      </w:tr>
      <w:tr>
        <w:trPr/>
        <w:tc>
          <w:tcPr>
            <w:tcW w:w="23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239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JIANG Wen</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680"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Independent Director</w:t>
            </w:r>
          </w:p>
        </w:tc>
        <w:tc>
          <w:tcPr>
            <w:tcW w:w="140" w:type="dxa"/>
            <w:vMerge w:val="restart"/>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1115"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June 9, 2026 </w:t>
            </w:r>
          </w:p>
        </w:tc>
      </w:tr>
      <w:tr>
        <w:trPr/>
        <w:tc>
          <w:tcPr>
            <w:tcW w:w="23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 JIANG Wen</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68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115" w:type="dxa"/>
            <w:vMerge w:val="continue"/>
            <w:tcBorders/>
            <w:vAlign w:val="center"/>
          </w:tcPr>
          <w:p>
            <w:pPr>
              <w:pStyle w:val="Normal"/>
              <w:bidi w:val="0"/>
              <w:jc w:val="left"/>
              <w:rPr/>
            </w:pPr>
            <w:r>
              <w:rPr/>
            </w:r>
          </w:p>
        </w:tc>
      </w:tr>
      <w:tr>
        <w:trPr/>
        <w:tc>
          <w:tcPr>
            <w:tcW w:w="239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color w:val="000000"/>
              </w:rPr>
            </w:pPr>
            <w:r>
              <w:rPr>
                <w:color w:val="000000"/>
              </w:rPr>
              <w:t> </w:t>
            </w:r>
          </w:p>
        </w:tc>
      </w:tr>
      <w:tr>
        <w:trPr/>
        <w:tc>
          <w:tcPr>
            <w:tcW w:w="23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II-5</w:t>
      </w:r>
    </w:p>
    <w:p>
      <w:pPr>
        <w:pStyle w:val="HorizontalLine"/>
        <w:bidi w:val="0"/>
        <w:spacing w:before="200" w:after="200"/>
        <w:jc w:val="left"/>
        <w:rPr/>
      </w:pPr>
      <w:r>
        <w:rPr/>
      </w:r>
    </w:p>
    <w:p>
      <w:pPr>
        <w:pStyle w:val="TextBody"/>
        <w:bidi w:val="0"/>
        <w:jc w:val="left"/>
        <w:rPr/>
      </w:pPr>
      <w:hyperlink w:anchor="TOC">
        <w:bookmarkStart w:id="129" w:name="ny20075344x1_posam_302-sig_pg2"/>
        <w:bookmarkEnd w:id="12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 xml:space="preserve">SIGNATURE OF AUTHORIZED REPRESENTATIVE IN THE UNITED STATES </w:t>
      </w:r>
    </w:p>
    <w:p>
      <w:pPr>
        <w:pStyle w:val="TextBody"/>
        <w:bidi w:val="0"/>
        <w:spacing w:before="120" w:after="283"/>
        <w:ind w:left="0" w:right="0" w:hanging="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Pursuant to the Securities Act of 1933, as amended, the undersigned, the duly authorized representative in the United States of America of Waton Financial Limited, has signed this registration statement or amendment thereto in New York, NY on June 9, 2026. </w:t>
      </w:r>
    </w:p>
    <w:tbl>
      <w:tblPr>
        <w:tblW w:w="3830"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27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Cogency Global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9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Authorized U.S. Representative</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Colleen A. De Vries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Colleen A. De Vries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Senior Vice President on behalf of</w:t>
              <w:br/>
              <w:t>Cogency Global Inc.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9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II-6</w:t>
      </w:r>
    </w:p>
    <w:p>
      <w:pPr>
        <w:pStyle w:val="HorizontalLine"/>
        <w:pBdr>
          <w:bottom w:val="single" w:sz="12" w:space="0" w:color="808080"/>
        </w:pBdr>
        <w:bidi w:val="0"/>
        <w:jc w:val="left"/>
        <w:rPr/>
      </w:pPr>
      <w:r>
        <w:rPr/>
      </w:r>
      <w:bookmarkStart w:id="130" w:name="ny20075344x1_ex1-1.htm"/>
      <w:bookmarkStart w:id="131" w:name="ksny20075344x1_ex11"/>
      <w:bookmarkStart w:id="132" w:name="ny20075344x1_ex1-1.htm"/>
      <w:bookmarkStart w:id="133" w:name="ksny20075344x1_ex11"/>
      <w:bookmarkEnd w:id="132"/>
      <w:bookmarkEnd w:id="13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1.1</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bookmarkStart w:id="134" w:name="OLE_LINK54"/>
      <w:bookmarkStart w:id="135" w:name="OLE_LINK5"/>
      <w:bookmarkStart w:id="136" w:name="z_Hlk22196554"/>
      <w:bookmarkStart w:id="137" w:name="OLE_LINK117"/>
      <w:bookmarkStart w:id="138" w:name="OLE_LINK103"/>
      <w:bookmarkStart w:id="139" w:name="z_Hlk152419789"/>
      <w:bookmarkEnd w:id="134"/>
      <w:bookmarkEnd w:id="135"/>
      <w:bookmarkEnd w:id="136"/>
      <w:bookmarkEnd w:id="137"/>
      <w:bookmarkEnd w:id="138"/>
      <w:bookmarkEnd w:id="139"/>
      <w:r>
        <w:rPr>
          <w:rFonts w:ascii="Times New Roman" w:hAnsi="Times New Roman"/>
          <w:color w:val="000000"/>
          <w:sz w:val="20"/>
        </w:rPr>
        <w:t>[●], 2026</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rPr>
      </w:pPr>
      <w:bookmarkStart w:id="140" w:name="OLE_LINK4"/>
      <w:bookmarkStart w:id="141" w:name="OLE_LINK46"/>
      <w:bookmarkStart w:id="142" w:name="OLE_LINK45"/>
      <w:bookmarkEnd w:id="140"/>
      <w:bookmarkEnd w:id="141"/>
      <w:bookmarkEnd w:id="142"/>
      <w:r>
        <w:rPr>
          <w:rFonts w:ascii="Times New Roman" w:hAnsi="Times New Roman"/>
          <w:b/>
          <w:color w:val="000000"/>
          <w:sz w:val="20"/>
          <w:u w:val="single"/>
        </w:rPr>
        <w:t>PERSONAL AND CONFIDENTIAL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bookmarkStart w:id="143" w:name="z_Hlk9582364"/>
      <w:bookmarkEnd w:id="143"/>
      <w:r>
        <w:rPr>
          <w:rFonts w:ascii="Times New Roman" w:hAnsi="Times New Roman"/>
          <w:color w:val="000000"/>
          <w:sz w:val="20"/>
        </w:rPr>
        <w:t>Mr. Huaxin WEN, Chief Financial Officer</w:t>
      </w:r>
    </w:p>
    <w:p>
      <w:pPr>
        <w:pStyle w:val="TextBody"/>
        <w:bidi w:val="0"/>
        <w:spacing w:before="0" w:after="0"/>
        <w:jc w:val="left"/>
        <w:rPr>
          <w:rFonts w:ascii="Times New Roman" w:hAnsi="Times New Roman"/>
          <w:color w:val="000000"/>
          <w:sz w:val="20"/>
        </w:rPr>
      </w:pPr>
      <w:bookmarkStart w:id="144" w:name="OLE_LINK470"/>
      <w:bookmarkStart w:id="145" w:name="OLE_LINK27"/>
      <w:bookmarkStart w:id="146" w:name="OLE_LINK2"/>
      <w:bookmarkStart w:id="147" w:name="z_Hlk76830618"/>
      <w:bookmarkEnd w:id="144"/>
      <w:bookmarkEnd w:id="145"/>
      <w:bookmarkEnd w:id="146"/>
      <w:bookmarkEnd w:id="147"/>
      <w:r>
        <w:rPr>
          <w:rFonts w:ascii="Times New Roman" w:hAnsi="Times New Roman"/>
          <w:color w:val="000000"/>
          <w:sz w:val="20"/>
        </w:rPr>
        <w:t>Waton Financial Limited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Suites 3605-06, 36th Floor,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Tower 6, The Gateway,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Harbour City, Tsim Sha Tsui,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Kowloon, Hong Kong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8" w:name="z05921c363a2d4c3ba7aaa0d6115a9d93"/>
      <w:bookmarkStart w:id="149" w:name="z05921c363a2d4c3ba7aaa0d6115a9d93"/>
      <w:bookmarkEnd w:id="149"/>
    </w:p>
    <w:tbl>
      <w:tblPr>
        <w:tblW w:w="9505" w:type="dxa"/>
        <w:jc w:val="left"/>
        <w:tblInd w:w="0" w:type="dxa"/>
        <w:tblLayout w:type="fixed"/>
        <w:tblCellMar>
          <w:top w:w="0" w:type="dxa"/>
          <w:left w:w="0" w:type="dxa"/>
          <w:bottom w:w="0" w:type="dxa"/>
          <w:right w:w="0" w:type="dxa"/>
        </w:tblCellMar>
      </w:tblPr>
      <w:tblGrid>
        <w:gridCol w:w="395"/>
        <w:gridCol w:w="9110"/>
      </w:tblGrid>
      <w:tr>
        <w:trPr/>
        <w:tc>
          <w:tcPr>
            <w:tcW w:w="395" w:type="dxa"/>
            <w:tcBorders/>
            <w:vAlign w:val="center"/>
          </w:tcPr>
          <w:p>
            <w:pPr>
              <w:pStyle w:val="TableContents"/>
              <w:bidi w:val="0"/>
              <w:spacing w:before="0" w:after="283"/>
              <w:jc w:val="left"/>
              <w:rPr>
                <w:b/>
              </w:rPr>
            </w:pPr>
            <w:r>
              <w:rPr>
                <w:b/>
              </w:rPr>
              <w:t>Re:</w:t>
            </w:r>
          </w:p>
        </w:tc>
        <w:tc>
          <w:tcPr>
            <w:tcW w:w="9110" w:type="dxa"/>
            <w:tcBorders/>
            <w:vAlign w:val="center"/>
          </w:tcPr>
          <w:p>
            <w:pPr>
              <w:pStyle w:val="TableContents"/>
              <w:bidi w:val="0"/>
              <w:spacing w:before="0" w:after="0"/>
              <w:jc w:val="both"/>
              <w:rPr>
                <w:b/>
                <w:u w:val="single"/>
              </w:rPr>
            </w:pPr>
            <w:bookmarkStart w:id="150" w:name="OLE_LINK139"/>
            <w:bookmarkStart w:id="151" w:name="OLE_LINK138"/>
            <w:bookmarkEnd w:id="150"/>
            <w:bookmarkEnd w:id="151"/>
            <w:r>
              <w:rPr>
                <w:b/>
                <w:u w:val="single"/>
              </w:rPr>
              <w:t>Waton Financial Limited | Best Efforts Follow-On Offering | Placement Agent Agreement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Mr. WEN: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purpose of this placement agent agreement (this “</w:t>
      </w:r>
      <w:r>
        <w:rPr>
          <w:rFonts w:ascii="Times New Roman" w:hAnsi="Times New Roman"/>
          <w:b/>
          <w:color w:val="000000"/>
          <w:sz w:val="20"/>
          <w:u w:val="single"/>
        </w:rPr>
        <w:t>Agreement</w:t>
      </w:r>
      <w:r>
        <w:rPr>
          <w:rFonts w:ascii="Times New Roman" w:hAnsi="Times New Roman"/>
          <w:color w:val="000000"/>
          <w:sz w:val="20"/>
        </w:rPr>
        <w:t>”) is to outline our agreement pursuant to which Cathay Securities, Inc. (“</w:t>
      </w:r>
      <w:r>
        <w:rPr>
          <w:rFonts w:ascii="Times New Roman" w:hAnsi="Times New Roman"/>
          <w:b/>
          <w:color w:val="000000"/>
          <w:sz w:val="20"/>
          <w:u w:val="single"/>
        </w:rPr>
        <w:t>Cathay</w:t>
      </w:r>
      <w:r>
        <w:rPr>
          <w:rFonts w:ascii="Times New Roman" w:hAnsi="Times New Roman"/>
          <w:color w:val="000000"/>
          <w:sz w:val="20"/>
        </w:rPr>
        <w:t>”) will act as the placement agent on a “best efforts” basis in connection with the proposed Best Efforts Follow-On Offering (the “</w:t>
      </w:r>
      <w:bookmarkStart w:id="152" w:name="OLE_LINK18"/>
      <w:bookmarkStart w:id="153" w:name="OLE_LINK17"/>
      <w:bookmarkEnd w:id="152"/>
      <w:bookmarkEnd w:id="153"/>
      <w:r>
        <w:rPr>
          <w:rFonts w:ascii="Times New Roman" w:hAnsi="Times New Roman"/>
          <w:b/>
          <w:color w:val="000000"/>
          <w:sz w:val="20"/>
          <w:u w:val="single"/>
        </w:rPr>
        <w:t>Placement</w:t>
      </w:r>
      <w:r>
        <w:rPr>
          <w:rFonts w:ascii="Times New Roman" w:hAnsi="Times New Roman"/>
          <w:color w:val="000000"/>
          <w:sz w:val="20"/>
        </w:rPr>
        <w:t>”) by Waton Financial Limited (collectively, with its subsidiaries and affiliates, the “</w:t>
      </w:r>
      <w:r>
        <w:rPr>
          <w:rFonts w:ascii="Times New Roman" w:hAnsi="Times New Roman"/>
          <w:b/>
          <w:color w:val="000000"/>
          <w:sz w:val="20"/>
          <w:u w:val="single"/>
        </w:rPr>
        <w:t>Company</w:t>
      </w:r>
      <w:r>
        <w:rPr>
          <w:rFonts w:ascii="Times New Roman" w:hAnsi="Times New Roman"/>
          <w:color w:val="000000"/>
          <w:sz w:val="20"/>
        </w:rPr>
        <w:t>”) of its Ordinary Shares (the “</w:t>
      </w:r>
      <w:r>
        <w:rPr>
          <w:rFonts w:ascii="Times New Roman" w:hAnsi="Times New Roman"/>
          <w:b/>
          <w:color w:val="000000"/>
          <w:sz w:val="20"/>
          <w:u w:val="single"/>
        </w:rPr>
        <w:t>Securities</w:t>
      </w:r>
      <w:r>
        <w:rPr>
          <w:rFonts w:ascii="Times New Roman" w:hAnsi="Times New Roman"/>
          <w:color w:val="000000"/>
          <w:sz w:val="20"/>
        </w:rPr>
        <w:t xml:space="preserve">”). This placement agent agreement sets forth certain conditions and assumptions upon which the </w:t>
      </w:r>
      <w:bookmarkStart w:id="154" w:name="OLE_LINK229"/>
      <w:bookmarkStart w:id="155" w:name="OLE_LINK29"/>
      <w:bookmarkStart w:id="156" w:name="OLE_LINK24"/>
      <w:bookmarkEnd w:id="154"/>
      <w:bookmarkEnd w:id="155"/>
      <w:bookmarkEnd w:id="156"/>
      <w:r>
        <w:rPr>
          <w:rFonts w:ascii="Times New Roman" w:hAnsi="Times New Roman"/>
          <w:color w:val="000000"/>
          <w:sz w:val="20"/>
        </w:rPr>
        <w:t xml:space="preserve">Placement is premised. </w:t>
      </w:r>
      <w:bookmarkStart w:id="157" w:name="OLE_LINK240"/>
      <w:bookmarkStart w:id="158" w:name="OLE_LINK239"/>
      <w:bookmarkEnd w:id="157"/>
      <w:bookmarkEnd w:id="158"/>
      <w:r>
        <w:rPr>
          <w:rFonts w:ascii="Times New Roman" w:hAnsi="Times New Roman"/>
          <w:color w:val="000000"/>
          <w:sz w:val="20"/>
        </w:rPr>
        <w:t xml:space="preserve">The Company expressly acknowledges and agrees that Cathay’s obligations hereunder are on a reasonable “best efforts” basis only and that the execution of this Agreement does not constitute a commitment by Cathay to purchase the Securities and does not ensure the successful placement of the Securities or any portion thereof or the success of Cathay with respect to securing any other financing on behalf of the Company. The Company confirms that entry into this Agreement and completion of the Placement with Cathay will not breach or otherwise violate the Company’s obligations to any </w:t>
      </w:r>
      <w:bookmarkStart w:id="159" w:name="OLE_LINK242"/>
      <w:bookmarkStart w:id="160" w:name="z_Hlk151402192"/>
      <w:bookmarkEnd w:id="159"/>
      <w:bookmarkEnd w:id="160"/>
      <w:r>
        <w:rPr>
          <w:rFonts w:ascii="Times New Roman" w:hAnsi="Times New Roman"/>
          <w:color w:val="000000"/>
          <w:sz w:val="20"/>
        </w:rPr>
        <w:t xml:space="preserve">other </w:t>
      </w:r>
      <w:bookmarkStart w:id="161" w:name="OLE_LINK36"/>
      <w:bookmarkStart w:id="162" w:name="OLE_LINK35"/>
      <w:bookmarkEnd w:id="161"/>
      <w:bookmarkEnd w:id="162"/>
      <w:r>
        <w:rPr>
          <w:rFonts w:ascii="Times New Roman" w:hAnsi="Times New Roman"/>
          <w:color w:val="000000"/>
          <w:sz w:val="20"/>
        </w:rPr>
        <w:t xml:space="preserve">party or require any payments to such other party. </w:t>
      </w:r>
      <w:bookmarkStart w:id="163" w:name="OLE_LINK241"/>
      <w:bookmarkStart w:id="164" w:name="z_Hlk151402174"/>
      <w:bookmarkEnd w:id="163"/>
      <w:bookmarkEnd w:id="164"/>
      <w:r>
        <w:rPr>
          <w:rFonts w:ascii="Times New Roman" w:hAnsi="Times New Roman"/>
          <w:color w:val="000000"/>
          <w:sz w:val="20"/>
        </w:rPr>
        <w:t>For the sake of clarity, such obligations may include, but not be limited to, obligations under an engagement letter, placement agency agreement, underwriting agreement, advisory agreement, right of first refusal, tail fee obligation or other agreement.</w:t>
      </w:r>
      <w:bookmarkStart w:id="165" w:name="OLE_LINK472"/>
      <w:bookmarkStart w:id="166" w:name="OLE_LINK58"/>
      <w:bookmarkStart w:id="167" w:name="OLE_LINK56"/>
      <w:bookmarkStart w:id="168" w:name="OLE_LINK55"/>
      <w:bookmarkEnd w:id="165"/>
      <w:bookmarkEnd w:id="166"/>
      <w:bookmarkEnd w:id="167"/>
      <w:bookmarkEnd w:id="168"/>
      <w:r>
        <w:rPr>
          <w:rFonts w:ascii="Times New Roman" w:hAnsi="Times New Roman"/>
          <w:color w:val="000000"/>
          <w:sz w:val="20"/>
        </w:rPr>
        <w:t xml:space="preserve"> Any capitalized terms not defined herein shall have meaning set forth in the Securities Purchase Agreement.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bookmarkStart w:id="169" w:name="z_Ref76920389"/>
      <w:bookmarkEnd w:id="169"/>
      <w:r>
        <w:rPr>
          <w:rFonts w:ascii="Times New Roman" w:hAnsi="Times New Roman"/>
          <w:color w:val="000000"/>
          <w:sz w:val="20"/>
        </w:rPr>
        <w:t>The terms of our agreement are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0" w:name="z164bc30e0e6941f39eeaa85f1fa35acf"/>
      <w:bookmarkStart w:id="171" w:name="z164bc30e0e6941f39eeaa85f1fa35acf"/>
      <w:bookmarkEnd w:id="171"/>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pPr>
            <w:r>
              <w:rPr/>
              <w:t>1.</w:t>
            </w:r>
          </w:p>
        </w:tc>
        <w:tc>
          <w:tcPr>
            <w:tcW w:w="10048" w:type="dxa"/>
            <w:tcBorders/>
            <w:vAlign w:val="center"/>
          </w:tcPr>
          <w:p>
            <w:pPr>
              <w:pStyle w:val="TableContents"/>
              <w:bidi w:val="0"/>
              <w:spacing w:before="0" w:after="0"/>
              <w:jc w:val="both"/>
              <w:rPr/>
            </w:pPr>
            <w:r>
              <w:rPr>
                <w:b/>
                <w:u w:val="single"/>
              </w:rPr>
              <w:t>Engagement</w:t>
            </w:r>
            <w:r>
              <w:rPr/>
              <w:t xml:space="preserve">. </w:t>
            </w:r>
            <w:bookmarkStart w:id="172" w:name="z_Hlk31717341"/>
            <w:bookmarkEnd w:id="172"/>
            <w:r>
              <w:rPr/>
              <w:t xml:space="preserve">The Company hereby engages Cathay, for the period beginning on the date hereof and ending </w:t>
            </w:r>
            <w:bookmarkStart w:id="173" w:name="OLE_LINK73"/>
            <w:bookmarkStart w:id="174" w:name="OLE_LINK72"/>
            <w:bookmarkStart w:id="175" w:name="OLE_LINK34"/>
            <w:bookmarkStart w:id="176" w:name="OLE_LINK12"/>
            <w:bookmarkStart w:id="177" w:name="OLE_LINK11"/>
            <w:bookmarkEnd w:id="173"/>
            <w:bookmarkEnd w:id="174"/>
            <w:bookmarkEnd w:id="175"/>
            <w:bookmarkEnd w:id="176"/>
            <w:bookmarkEnd w:id="177"/>
            <w:r>
              <w:rPr/>
              <w:t>three (3) months or upon the completion of the Placement, whichever is earlier (the “</w:t>
            </w:r>
            <w:r>
              <w:rPr>
                <w:b/>
                <w:u w:val="single"/>
              </w:rPr>
              <w:t>Engagement Period</w:t>
            </w:r>
            <w:r>
              <w:rPr/>
              <w:t>”), to act as the Company’s exclusive placement agent in connection with the proposed Placement. During the Engagement Period or until the consummation of the Placement, and as long as Cathay is proceeding in good faith with preparations for the Placement, the Company agrees not to solicit, negotiate with or enter into any agreement with any other source of financing (whether equity, debt or otherwise), any underwriter, potential underwriter, placement agent, financial advisor, investment banking firm or any other person or entity in connection with an offering of the Company’s debt or equity securities or any other financing by the Company, other than commercial bank loans or credit facilities entered into in the ordinary course of business.</w:t>
            </w:r>
            <w:bookmarkStart w:id="178" w:name="OLE_LINK57"/>
            <w:bookmarkStart w:id="179" w:name="z_Hlk148789091"/>
            <w:bookmarkEnd w:id="178"/>
            <w:bookmarkEnd w:id="179"/>
            <w:r>
              <w:rPr/>
              <w:t> </w:t>
            </w:r>
            <w:bookmarkStart w:id="180" w:name="OLE_LINK453"/>
            <w:bookmarkStart w:id="181" w:name="OLE_LINK452"/>
            <w:bookmarkEnd w:id="180"/>
            <w:bookmarkEnd w:id="181"/>
            <w:r>
              <w:rPr/>
              <w:t xml:space="preserve">Cathay will use its reasonable “best efforts” to solicit offers to purchase the Securities from the Company on the terms, and subject to the conditions, set forth in the Prospectus (as defined below). </w:t>
            </w:r>
            <w:bookmarkStart w:id="182" w:name="OLE_LINK243"/>
            <w:bookmarkStart w:id="183" w:name="z_Hlk151402418"/>
            <w:bookmarkEnd w:id="182"/>
            <w:bookmarkEnd w:id="183"/>
            <w:r>
              <w:rPr/>
              <w:t xml:space="preserve">Cathay shall use commercially reasonable efforts to assist the Company in obtaining performance by each </w:t>
            </w:r>
            <w:r>
              <w:rPr>
                <w:color w:val="000000"/>
              </w:rPr>
              <w:t>investor that has entered into a Securities Purchase Agreement (defined below) to purchase Securities in the Placement (each, a "Purchaser")</w:t>
            </w:r>
            <w:r>
              <w:rPr/>
              <w:t xml:space="preserve"> whose offer to purchase Securities has been solicited by Cathay, but Cathay shall not, except as otherwise provided in this Agreement, be obligated to disclose the identity of any potential purchaser or have any liability to the Company in the event any such purchase is not consummated for any reason. The Company acknowledges that under no circumstances will Cathay be obligated to underwrite or purchase any Securities for its own account and, in soliciting purchases of the Securities, Cathay shall act solely as an agent of the Company. The services provided pursuant to this Agreement shall be on an “agency” basis and not on a “principal” basis.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4" w:name="z79b0de068a964112b49a69e1c81001a2"/>
      <w:bookmarkStart w:id="185" w:name="z79b0de068a964112b49a69e1c81001a2"/>
      <w:bookmarkEnd w:id="185"/>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pPr>
            <w:r>
              <w:rPr/>
              <w:t>2.</w:t>
            </w:r>
          </w:p>
        </w:tc>
        <w:tc>
          <w:tcPr>
            <w:tcW w:w="10047" w:type="dxa"/>
            <w:tcBorders/>
            <w:vAlign w:val="center"/>
          </w:tcPr>
          <w:p>
            <w:pPr>
              <w:pStyle w:val="TableContents"/>
              <w:bidi w:val="0"/>
              <w:spacing w:before="0" w:after="0"/>
              <w:jc w:val="both"/>
              <w:rPr/>
            </w:pPr>
            <w:r>
              <w:rPr>
                <w:b/>
                <w:u w:val="single"/>
              </w:rPr>
              <w:t>The Placement</w:t>
            </w:r>
            <w:r>
              <w:rPr/>
              <w:t>. The Placement is expected to consist of a sale of</w:t>
            </w:r>
            <w:bookmarkStart w:id="186" w:name="OLE_LINK7"/>
            <w:bookmarkStart w:id="187" w:name="OLE_LINK6"/>
            <w:bookmarkEnd w:id="186"/>
            <w:bookmarkEnd w:id="187"/>
            <w:r>
              <w:rPr/>
              <w:t xml:space="preserve"> approximately </w:t>
            </w:r>
            <w:bookmarkStart w:id="188" w:name="OLE_LINK66"/>
            <w:bookmarkStart w:id="189" w:name="OLE_LINK446"/>
            <w:bookmarkStart w:id="190" w:name="OLE_LINK445"/>
            <w:bookmarkEnd w:id="188"/>
            <w:bookmarkEnd w:id="189"/>
            <w:bookmarkEnd w:id="190"/>
            <w:r>
              <w:rPr/>
              <w:t>$[●] million of the Company’s Securities. Cathay will act as placement agent for the Placement subject to, among other matters referred to herein and additional customary conditions, completion of Cathay’s due diligence examination of the Company and its affiliates, and the execution of a definitive Securities Purchase Agreement in connection with the Placement (the “</w:t>
            </w:r>
            <w:r>
              <w:rPr>
                <w:b/>
                <w:u w:val="single"/>
              </w:rPr>
              <w:t>Securities Purchase Agreement</w:t>
            </w:r>
            <w:r>
              <w:rPr/>
              <w:t>”). </w:t>
            </w:r>
            <w:bookmarkStart w:id="191" w:name="z_Ref396316927"/>
            <w:bookmarkEnd w:id="191"/>
            <w:r>
              <w:rPr/>
              <w:t>In connection with the entry into the Securities Purchase Agreement, the Company (i) will meet with Cathay and its representatives to discuss such due diligence matters and to provide such documents as Cathay may reasonably require; (ii) will not file with the U.S. Securities and Exchange Commission (the “</w:t>
            </w:r>
            <w:r>
              <w:rPr>
                <w:b/>
                <w:u w:val="single"/>
              </w:rPr>
              <w:t>Commission</w:t>
            </w:r>
            <w:r>
              <w:rPr/>
              <w:t xml:space="preserve">”) any document regarding the </w:t>
            </w:r>
            <w:bookmarkStart w:id="192" w:name="OLE_LINK50"/>
            <w:bookmarkStart w:id="193" w:name="z_Hlk140071448"/>
            <w:bookmarkEnd w:id="192"/>
            <w:bookmarkEnd w:id="193"/>
            <w:r>
              <w:rPr/>
              <w:t>Placement without the prior approval of Cathay and its counsel (provided that such approval is not unreasonably withheld); (iii) will deliver to Cathay and the investors in the Placement such legal and accounting opinions and letters (including, without limitation, accounting comfort letters, legal opinions, negative assurance letters, good standing certificates and officers’ and secretary certificates) as Cathay may reasonably require, all in form and substance reasonably acceptable to Cathay and (iv) will ensure that Cathay is a third party beneficiary of all representations, and warranties in connection with the Placement.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4" w:name="z37cffabc730c4af383991cabd8ae828d"/>
      <w:bookmarkStart w:id="195" w:name="z37cffabc730c4af383991cabd8ae828d"/>
      <w:bookmarkEnd w:id="195"/>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pPr>
            <w:bookmarkStart w:id="196" w:name="z_Ref76920555"/>
            <w:bookmarkEnd w:id="196"/>
            <w:r>
              <w:rPr/>
              <w:t>3.</w:t>
            </w:r>
          </w:p>
        </w:tc>
        <w:tc>
          <w:tcPr>
            <w:tcW w:w="10019" w:type="dxa"/>
            <w:tcBorders/>
            <w:vAlign w:val="center"/>
          </w:tcPr>
          <w:p>
            <w:pPr>
              <w:pStyle w:val="TableContents"/>
              <w:bidi w:val="0"/>
              <w:spacing w:before="0" w:after="0"/>
              <w:jc w:val="both"/>
              <w:rPr/>
            </w:pPr>
            <w:r>
              <w:rPr>
                <w:b/>
                <w:u w:val="single"/>
              </w:rPr>
              <w:t>Placement Compensation</w:t>
            </w:r>
            <w:r>
              <w:rPr/>
              <w:t xml:space="preserve">. </w:t>
            </w:r>
            <w:bookmarkStart w:id="197" w:name="OLE_LINK454"/>
            <w:bookmarkStart w:id="198" w:name="z_Hlk173324969"/>
            <w:bookmarkEnd w:id="197"/>
            <w:bookmarkEnd w:id="198"/>
            <w:r>
              <w:rPr/>
              <w:t xml:space="preserve">The </w:t>
            </w:r>
            <w:bookmarkStart w:id="199" w:name="OLE_LINK88"/>
            <w:bookmarkStart w:id="200" w:name="z_Hlk149412260"/>
            <w:bookmarkEnd w:id="199"/>
            <w:bookmarkEnd w:id="200"/>
            <w:r>
              <w:rPr/>
              <w:t xml:space="preserve">placement commission will be </w:t>
            </w:r>
            <w:bookmarkStart w:id="201" w:name="OLE_LINK78"/>
            <w:bookmarkStart w:id="202" w:name="OLE_LINK10"/>
            <w:bookmarkStart w:id="203" w:name="OLE_LINK75"/>
            <w:bookmarkStart w:id="204" w:name="OLE_LINK74"/>
            <w:bookmarkStart w:id="205" w:name="z_Hlk149391521"/>
            <w:bookmarkEnd w:id="201"/>
            <w:bookmarkEnd w:id="202"/>
            <w:bookmarkEnd w:id="203"/>
            <w:bookmarkEnd w:id="204"/>
            <w:bookmarkEnd w:id="205"/>
            <w:r>
              <w:rPr/>
              <w:t>7.0% for the Placement if Cathay acts as the exclusive placement agent for the Placement consummated by the Company.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06" w:name="z06c005353ccf4a0c82da6f6e898db144"/>
      <w:bookmarkStart w:id="207" w:name="z06c005353ccf4a0c82da6f6e898db144"/>
      <w:bookmarkEnd w:id="207"/>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pPr>
            <w:r>
              <w:rPr/>
              <w:t>4.</w:t>
            </w:r>
          </w:p>
        </w:tc>
        <w:tc>
          <w:tcPr>
            <w:tcW w:w="10048" w:type="dxa"/>
            <w:tcBorders/>
            <w:vAlign w:val="center"/>
          </w:tcPr>
          <w:p>
            <w:pPr>
              <w:pStyle w:val="TableContents"/>
              <w:bidi w:val="0"/>
              <w:spacing w:before="0" w:after="0"/>
              <w:jc w:val="both"/>
              <w:rPr/>
            </w:pPr>
            <w:r>
              <w:rPr>
                <w:b/>
                <w:u w:val="single"/>
              </w:rPr>
              <w:t>Registration Statement</w:t>
            </w:r>
            <w:r>
              <w:rPr/>
              <w:t xml:space="preserve">. To the extent the Company decides to proceed with the Placement, the Company will, as soon as practicable, prepare and file with </w:t>
            </w:r>
            <w:bookmarkStart w:id="208" w:name="z_Hlk230705208"/>
            <w:bookmarkEnd w:id="208"/>
            <w:r>
              <w:rPr/>
              <w:t>the Commission a Registration Statement on Form F-1 (the “</w:t>
            </w:r>
            <w:r>
              <w:rPr>
                <w:b/>
                <w:u w:val="single"/>
              </w:rPr>
              <w:t>Registration Statement</w:t>
            </w:r>
            <w:r>
              <w:rPr/>
              <w:t>”) under the Securities Act of 1933, as amended (the “</w:t>
            </w:r>
            <w:r>
              <w:rPr>
                <w:b/>
                <w:u w:val="single"/>
              </w:rPr>
              <w:t>Securities Act</w:t>
            </w:r>
            <w:r>
              <w:rPr/>
              <w:t>”), and a prospectus included therein (the “</w:t>
            </w:r>
            <w:r>
              <w:rPr>
                <w:b/>
                <w:u w:val="single"/>
              </w:rPr>
              <w:t>Prospectus</w:t>
            </w:r>
            <w:r>
              <w:rPr/>
              <w:t>”) covering the Securities to be offered and sold in the Placement. The Registration Statement (including the Prospectus therein), and all amendments and supplements thereto, will be in form reasonably satisfactory to Cathay and counsel to Cathay. Other than any information provided by Cathay in writing specifically for inclusion in the Registration Statement or the Prospectus, the Company will be solely responsible for the contents of its Registration Statement and Prospectus and any and all other written or oral communications provided by or on behalf of the Company to any actual or prospective investor of the Securities, and the Company represents and warrants that such materials and such other communications will not, as of the date of the offer or sale of the Securities, contain any untrue statement of a material fact or omit to state a material fact required to be stated therein or necessary in order to make the statements therein, in light of the circumstances under which they were made, not misleading. If at any time prior to the completion of the offer and sale of the Securities an event occurs that would cause the Registration Statement or Prospectus (as supplemented or amended) to contain an untrue statement of a material fact or to omit to state a material fact necessary in order to make the statements therein, in light of the circumstances under which they were made, not misleading, the Company will notify Cathay immediately of such event and Cathay will suspend solicitations of the prospective purchasers of the Securities until such time as the Company shall prepare a supplement or amendment to the Registration Statement or Prospectus that corrects such statement or omission.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9" w:name="zdec5d77232934441b252f72facd39993"/>
      <w:bookmarkStart w:id="210" w:name="zdec5d77232934441b252f72facd39993"/>
      <w:bookmarkEnd w:id="210"/>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pPr>
            <w:r>
              <w:rPr/>
              <w:t>5.</w:t>
            </w:r>
          </w:p>
        </w:tc>
        <w:tc>
          <w:tcPr>
            <w:tcW w:w="10041" w:type="dxa"/>
            <w:tcBorders/>
            <w:vAlign w:val="center"/>
          </w:tcPr>
          <w:p>
            <w:pPr>
              <w:pStyle w:val="TableContents"/>
              <w:bidi w:val="0"/>
              <w:spacing w:before="0" w:after="0"/>
              <w:jc w:val="both"/>
              <w:rPr/>
            </w:pPr>
            <w:r>
              <w:rPr>
                <w:b/>
                <w:u w:val="single"/>
              </w:rPr>
              <w:t>Lock-Ups</w:t>
            </w:r>
            <w:bookmarkStart w:id="211" w:name="OLE_LINK14"/>
            <w:bookmarkStart w:id="212" w:name="OLE_LINK13"/>
            <w:bookmarkEnd w:id="211"/>
            <w:bookmarkEnd w:id="212"/>
            <w:r>
              <w:rPr/>
              <w:t>.</w:t>
            </w:r>
            <w:bookmarkStart w:id="213" w:name="z_Hlk31717610"/>
            <w:bookmarkEnd w:id="213"/>
            <w:r>
              <w:rPr/>
              <w:t> </w:t>
            </w:r>
            <w:bookmarkStart w:id="214" w:name="OLE_LINK93"/>
            <w:bookmarkStart w:id="215" w:name="OLE_LINK92"/>
            <w:bookmarkEnd w:id="214"/>
            <w:bookmarkEnd w:id="215"/>
            <w:r>
              <w:rPr/>
              <w:t xml:space="preserve">In connection with the Placement, the Company’s directors, executive officers, employees and shareholders holding at least ten percent (10%) of the outstanding </w:t>
            </w:r>
            <w:bookmarkStart w:id="216" w:name="OLE_LINK209"/>
            <w:bookmarkStart w:id="217" w:name="OLE_LINK208"/>
            <w:bookmarkStart w:id="218" w:name="OLE_LINK48"/>
            <w:bookmarkStart w:id="219" w:name="OLE_LINK47"/>
            <w:bookmarkEnd w:id="216"/>
            <w:bookmarkEnd w:id="217"/>
            <w:bookmarkEnd w:id="218"/>
            <w:bookmarkEnd w:id="219"/>
            <w:r>
              <w:rPr/>
              <w:t xml:space="preserve">ordinary shares will enter into customary “lock-up” agreements for a period of </w:t>
            </w:r>
            <w:bookmarkStart w:id="220" w:name="OLE_LINK16"/>
            <w:bookmarkStart w:id="221" w:name="z_Hlk76848640"/>
            <w:bookmarkEnd w:id="220"/>
            <w:bookmarkEnd w:id="221"/>
            <w:r>
              <w:rPr/>
              <w:t>one hundred and eighty (</w:t>
            </w:r>
            <w:bookmarkStart w:id="222" w:name="OLE_LINK70"/>
            <w:bookmarkStart w:id="223" w:name="OLE_LINK69"/>
            <w:bookmarkEnd w:id="222"/>
            <w:bookmarkEnd w:id="223"/>
            <w:r>
              <w:rPr/>
              <w:t>180) days after</w:t>
            </w:r>
            <w:bookmarkStart w:id="224" w:name="OLE_LINK101"/>
            <w:bookmarkStart w:id="225" w:name="OLE_LINK100"/>
            <w:bookmarkEnd w:id="224"/>
            <w:bookmarkEnd w:id="225"/>
            <w:r>
              <w:rPr/>
              <w:t xml:space="preserve"> the Closing of the Placement</w:t>
            </w:r>
            <w:bookmarkStart w:id="226" w:name="OLE_LINK102"/>
            <w:bookmarkStart w:id="227" w:name="z_Hlk151270892"/>
            <w:bookmarkEnd w:id="226"/>
            <w:bookmarkEnd w:id="227"/>
            <w:r>
              <w:rPr/>
              <w:t xml:space="preserve"> (the “</w:t>
            </w:r>
            <w:r>
              <w:rPr>
                <w:b/>
                <w:u w:val="single"/>
              </w:rPr>
              <w:t>Lock-Up Period</w:t>
            </w:r>
            <w:r>
              <w:rPr/>
              <w:t>”); provided, however, that any sales by parties to the lock-ups shall be subject to the lock-up agreements, and provided further, that none of such ordinary shares shall be saleable in the public market until the expiration of the Lock-Up Period.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8" w:name="z641282a0fd57402591c52de6c43c388a"/>
      <w:bookmarkStart w:id="229" w:name="z641282a0fd57402591c52de6c43c388a"/>
      <w:bookmarkEnd w:id="229"/>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pPr>
            <w:bookmarkStart w:id="230" w:name="OLE_LINK85"/>
            <w:bookmarkStart w:id="231" w:name="OLE_LINK68"/>
            <w:bookmarkStart w:id="232" w:name="OLE_LINK333"/>
            <w:bookmarkStart w:id="233" w:name="OLE_LINK332"/>
            <w:bookmarkEnd w:id="230"/>
            <w:bookmarkEnd w:id="231"/>
            <w:bookmarkEnd w:id="232"/>
            <w:bookmarkEnd w:id="233"/>
            <w:r>
              <w:rPr/>
              <w:t>6.</w:t>
            </w:r>
          </w:p>
        </w:tc>
        <w:tc>
          <w:tcPr>
            <w:tcW w:w="10041" w:type="dxa"/>
            <w:tcBorders/>
            <w:vAlign w:val="center"/>
          </w:tcPr>
          <w:p>
            <w:pPr>
              <w:pStyle w:val="TableContents"/>
              <w:bidi w:val="0"/>
              <w:spacing w:before="0" w:after="0"/>
              <w:jc w:val="both"/>
              <w:rPr/>
            </w:pPr>
            <w:r>
              <w:rPr>
                <w:b/>
                <w:u w:val="single"/>
              </w:rPr>
              <w:t>Placement Agent Representations</w:t>
            </w:r>
            <w:r>
              <w:rPr>
                <w:u w:val="single"/>
              </w:rPr>
              <w:t>.</w:t>
            </w:r>
            <w:r>
              <w:rPr/>
              <w:t xml:space="preserve"> Cathay represents and warrants that it (i) is a member in good standing of FINRA, (ii) is registered as a broker/dealer under the Securities Exchange Act of 1934, as amended, (iii) is licensed as a broker/dealer under the laws of the United States applicable to the Placement, (iv) is a corporate entity validly existing under the laws of its place of incorporation, and (v) has full power and authority to enter into and perform its obligations under this Agreement.</w:t>
            </w:r>
            <w:bookmarkStart w:id="234" w:name="z_Ref396312992"/>
            <w:bookmarkStart w:id="235" w:name="z_Hlk10441132"/>
            <w:bookmarkStart w:id="236" w:name="z_Ref76853553"/>
            <w:bookmarkStart w:id="237" w:name="z_Ref76814884"/>
            <w:bookmarkStart w:id="238" w:name="z_Ref396311300"/>
            <w:bookmarkEnd w:id="234"/>
            <w:bookmarkEnd w:id="235"/>
            <w:bookmarkEnd w:id="236"/>
            <w:bookmarkEnd w:id="237"/>
            <w:bookmarkEnd w:id="238"/>
            <w:r>
              <w:rPr/>
              <w:t xml:space="preserve"> Cathay will immediately notify the Company in writing of any change in its status as such.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9" w:name="z08914b28ecc54a5dac8458246f98e53f"/>
      <w:bookmarkStart w:id="240" w:name="z08914b28ecc54a5dac8458246f98e53f"/>
      <w:bookmarkEnd w:id="240"/>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pPr>
            <w:bookmarkStart w:id="241" w:name="z_Ref76920219"/>
            <w:bookmarkEnd w:id="241"/>
            <w:r>
              <w:rPr/>
              <w:t>7.</w:t>
            </w:r>
          </w:p>
        </w:tc>
        <w:tc>
          <w:tcPr>
            <w:tcW w:w="10048" w:type="dxa"/>
            <w:tcBorders/>
            <w:vAlign w:val="center"/>
          </w:tcPr>
          <w:p>
            <w:pPr>
              <w:pStyle w:val="TableContents"/>
              <w:bidi w:val="0"/>
              <w:spacing w:before="0" w:after="0"/>
              <w:jc w:val="both"/>
              <w:rPr/>
            </w:pPr>
            <w:r>
              <w:rPr>
                <w:b/>
                <w:u w:val="single"/>
              </w:rPr>
              <w:t>Expenses</w:t>
            </w:r>
            <w:r>
              <w:rPr/>
              <w:t xml:space="preserve">. </w:t>
            </w:r>
            <w:bookmarkStart w:id="242" w:name="z_Hlk31717623"/>
            <w:bookmarkEnd w:id="242"/>
            <w:r>
              <w:rPr/>
              <w:t xml:space="preserve">The Company will be responsible for and will pay all expenses relating to the </w:t>
            </w:r>
            <w:bookmarkStart w:id="243" w:name="OLE_LINK98"/>
            <w:bookmarkStart w:id="244" w:name="OLE_LINK97"/>
            <w:bookmarkEnd w:id="243"/>
            <w:bookmarkEnd w:id="244"/>
            <w:r>
              <w:rPr/>
              <w:t xml:space="preserve">Placement, including, without limitation, (a) all filing fees and expenses relating to the registration of the Securities with the Commission; (b) all FINRA Public Offering filing fees; (c) all fees and expenses relating to the listing of the Company’s equity or equity-linked securities on Nasdaq; (d) all fees, expenses and disbursements relating to the registration or qualification of the Securities under the “blue sky” securities laws of such states and other jurisdictions as Cathay may reasonably designate (including, without limitation, all filing and registration fees, and the reasonable fees </w:t>
            </w:r>
            <w:r>
              <w:rPr>
                <w:color w:val="000000"/>
              </w:rPr>
              <w:t>in connection therewith); provided, however, that no</w:t>
            </w:r>
            <w:r>
              <w:rPr/>
              <w:t xml:space="preserve"> such filings </w:t>
            </w:r>
            <w:r>
              <w:rPr>
                <w:color w:val="000000"/>
              </w:rPr>
              <w:t>shall be</w:t>
            </w:r>
            <w:r>
              <w:rPr/>
              <w:t xml:space="preserve"> required in connection with the Company’s Nasdaq listing; (e) all fees, expenses and disbursements relating to the registration, qualification or exemption of the Securities under the securities laws of such foreign jurisdictions as Cathay may reasonably designate; (f) the costs of all mailing and printing of the Placement documents; (g) transfer and/or stamp taxes, if any, payable upon the transfer of Securities from the Company to Cathay; (h) the fees and expenses of the Company’s accountants; and </w:t>
            </w:r>
            <w:bookmarkStart w:id="245" w:name="OLE_LINK456"/>
            <w:bookmarkStart w:id="246" w:name="OLE_LINK455"/>
            <w:bookmarkEnd w:id="245"/>
            <w:bookmarkEnd w:id="246"/>
            <w:r>
              <w:rPr/>
              <w:t xml:space="preserve">(i) </w:t>
            </w:r>
            <w:bookmarkStart w:id="247" w:name="OLE_LINK77"/>
            <w:bookmarkStart w:id="248" w:name="OLE_LINK76"/>
            <w:bookmarkEnd w:id="247"/>
            <w:bookmarkEnd w:id="248"/>
            <w:r>
              <w:rPr/>
              <w:t xml:space="preserve">Cathay’s actual accountable out-of-pocket expenses (including reasonable legal fees and disbursements for Cathay’s counsel and any blue sky related fees and disbursements) up to $100,000 payable upon termination or expiration of this Agreement. </w:t>
            </w:r>
            <w:bookmarkStart w:id="249" w:name="z_Ref76846338"/>
            <w:bookmarkStart w:id="250" w:name="z_Ref76814868"/>
            <w:bookmarkEnd w:id="249"/>
            <w:bookmarkEnd w:id="250"/>
            <w:r>
              <w:rPr/>
              <w:t xml:space="preserve">Upon execution of this Agreement, the Company shall deliver, per Cathay’s instructions, an amount of </w:t>
            </w:r>
            <w:bookmarkStart w:id="251" w:name="OLE_LINK245"/>
            <w:bookmarkStart w:id="252" w:name="OLE_LINK244"/>
            <w:bookmarkEnd w:id="251"/>
            <w:bookmarkEnd w:id="252"/>
            <w:r>
              <w:rPr/>
              <w:t>$20,000 (by check or wire transfer of immediately available funds) as an advance to be applied towards reasonable out-of-pocket expenses Cathay anticipates to incur (the “</w:t>
            </w:r>
            <w:r>
              <w:rPr>
                <w:b/>
                <w:u w:val="single"/>
              </w:rPr>
              <w:t>Advance</w:t>
            </w:r>
            <w:r>
              <w:rPr/>
              <w:t>”). However, if the Placement is terminated, Cathay shall return any portion of the Advance not used to pay its accountable out-of-pocket expenses actually incurred.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53" w:name="z8d463ae6d0b54b1d86eb80ae767ad36d"/>
      <w:bookmarkStart w:id="254" w:name="z_Ref149403261"/>
      <w:bookmarkStart w:id="255" w:name="OLE_LINK3"/>
      <w:bookmarkStart w:id="256" w:name="z_Ref76922168"/>
      <w:bookmarkStart w:id="257" w:name="z8d463ae6d0b54b1d86eb80ae767ad36d"/>
      <w:bookmarkStart w:id="258" w:name="z_Ref149403261"/>
      <w:bookmarkStart w:id="259" w:name="OLE_LINK3"/>
      <w:bookmarkStart w:id="260" w:name="z_Ref76922168"/>
      <w:bookmarkEnd w:id="257"/>
      <w:bookmarkEnd w:id="258"/>
      <w:bookmarkEnd w:id="259"/>
      <w:bookmarkEnd w:id="260"/>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pPr>
            <w:r>
              <w:rPr/>
              <w:t>8.</w:t>
            </w:r>
          </w:p>
        </w:tc>
        <w:tc>
          <w:tcPr>
            <w:tcW w:w="10047" w:type="dxa"/>
            <w:tcBorders/>
            <w:vAlign w:val="center"/>
          </w:tcPr>
          <w:p>
            <w:pPr>
              <w:pStyle w:val="TableContents"/>
              <w:bidi w:val="0"/>
              <w:spacing w:before="0" w:after="0"/>
              <w:jc w:val="both"/>
              <w:rPr/>
            </w:pPr>
            <w:r>
              <w:rPr>
                <w:b/>
                <w:u w:val="single"/>
              </w:rPr>
              <w:t>Right of First Refusal</w:t>
            </w:r>
            <w:r>
              <w:rPr/>
              <w:t xml:space="preserve">. </w:t>
            </w:r>
            <w:bookmarkStart w:id="261" w:name="OLE_LINK335"/>
            <w:bookmarkStart w:id="262" w:name="OLE_LINK334"/>
            <w:bookmarkEnd w:id="261"/>
            <w:bookmarkEnd w:id="262"/>
            <w:r>
              <w:rPr/>
              <w:t>If, for the period beginning on the closing of the Placement with Cathay acting as the exclusive placement agent (the “</w:t>
            </w:r>
            <w:r>
              <w:rPr>
                <w:b/>
                <w:u w:val="single"/>
              </w:rPr>
              <w:t>Closing Date</w:t>
            </w:r>
            <w:r>
              <w:rPr/>
              <w:t xml:space="preserve">”) and ending </w:t>
            </w:r>
            <w:bookmarkStart w:id="263" w:name="OLE_LINK84"/>
            <w:bookmarkStart w:id="264" w:name="OLE_LINK83"/>
            <w:bookmarkEnd w:id="263"/>
            <w:bookmarkEnd w:id="264"/>
            <w:r>
              <w:rPr/>
              <w:t xml:space="preserve">twelve (12) </w:t>
            </w:r>
            <w:bookmarkStart w:id="265" w:name="OLE_LINK387"/>
            <w:bookmarkStart w:id="266" w:name="OLE_LINK386"/>
            <w:bookmarkEnd w:id="265"/>
            <w:bookmarkEnd w:id="266"/>
            <w:r>
              <w:rPr/>
              <w:t xml:space="preserve">months after the commencement of sales in the Placement, the Company or any of its subsidiaries </w:t>
            </w:r>
            <w:bookmarkStart w:id="267" w:name="OLE_LINK389"/>
            <w:bookmarkStart w:id="268" w:name="OLE_LINK388"/>
            <w:bookmarkEnd w:id="267"/>
            <w:bookmarkEnd w:id="268"/>
            <w:r>
              <w:rPr/>
              <w:t>(a) decides to finance or refinance any indebtedness (excluding commercial bank debt), Cathay (or any affiliate designated by Cathay) shall have the right to act as sole book-runner, sole manager, sole placement agent or sole agent with respect to such financing or refinancing; or (b) decides to raise funds by means of a public offering (including at-the-market facility) or a private placement or any other capital raising financing of equity, equity-linked or debt securities, Cathay (or any affiliate designated by Cathay) shall have the right to act as sole book-running manager, sole underwriter or sole placement agent for such financing. If Cathay or one of its affiliates decides to accept any such engagement, the agreement governing such engagement (each, a “</w:t>
            </w:r>
            <w:r>
              <w:rPr>
                <w:b/>
                <w:u w:val="single"/>
              </w:rPr>
              <w:t>Subsequent Transaction Agreement</w:t>
            </w:r>
            <w:r>
              <w:rPr/>
              <w:t>”) will contain, among other things, provisions for customary fees for transactions of similar size and nature. Notwithstanding the foregoing, the decision to accept the Company’s engagement under this Section 8 shall be made by Cathay or one of its affiliates, by a written notice to the Company, within five (5) Business Days of the receipt of the Company’s notification of its financing needs, which notice shall include a detailed term sheet. The right of first refusal granted hereunder may be terminated by the Company for cause in compliance with FINRA Rule 5110(g)(5)(B)(i).</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9" w:name="z0153d0bac0814770903e64a3127d7c59"/>
      <w:bookmarkStart w:id="270" w:name="z0153d0bac0814770903e64a3127d7c59"/>
      <w:bookmarkEnd w:id="270"/>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pPr>
            <w:bookmarkStart w:id="271" w:name="z_Ref174229058"/>
            <w:bookmarkEnd w:id="271"/>
            <w:r>
              <w:rPr/>
              <w:t>9.</w:t>
            </w:r>
          </w:p>
        </w:tc>
        <w:tc>
          <w:tcPr>
            <w:tcW w:w="10041" w:type="dxa"/>
            <w:tcBorders/>
            <w:vAlign w:val="center"/>
          </w:tcPr>
          <w:p>
            <w:pPr>
              <w:pStyle w:val="TableContents"/>
              <w:bidi w:val="0"/>
              <w:spacing w:before="0" w:after="0"/>
              <w:jc w:val="both"/>
              <w:rPr/>
            </w:pPr>
            <w:r>
              <w:rPr>
                <w:b/>
                <w:u w:val="single"/>
              </w:rPr>
              <w:t>Closing; Closing Deliverables</w:t>
            </w:r>
            <w:r>
              <w:rPr/>
              <w:t>. Unless otherwise directed by the Placement Agent, settlement of the Securities shall occur via “Delivery Versus Payment” (“</w:t>
            </w:r>
            <w:r>
              <w:rPr>
                <w:b/>
                <w:u w:val="single"/>
              </w:rPr>
              <w:t>DVP</w:t>
            </w:r>
            <w:r>
              <w:rPr/>
              <w:t>”) (i.e., on the Closing Date, the Company shall cause its transfer agent (the “Transfer Agent”) to issue the Securities directly to the clearing firm designated by the Placement Agent; upon receipt of such Securities, the Placement Agent shall promptly electronically deliver such Securities to the applicable Purchaser, and payment therefor shall be made by the Placement Agent (or its clearing firm) by wire transfer to the Company).</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272" w:name="z_Ref151389555"/>
      <w:bookmarkStart w:id="273" w:name="z_Ref151329357"/>
      <w:bookmarkEnd w:id="272"/>
      <w:bookmarkEnd w:id="273"/>
      <w:r>
        <w:rPr>
          <w:rFonts w:ascii="Times New Roman" w:hAnsi="Times New Roman"/>
          <w:color w:val="000000"/>
          <w:sz w:val="20"/>
        </w:rPr>
        <w:t xml:space="preserve">9.1.         </w:t>
      </w:r>
      <w:r>
        <w:rPr>
          <w:rFonts w:ascii="Times New Roman" w:hAnsi="Times New Roman"/>
          <w:b/>
          <w:color w:val="000000"/>
          <w:sz w:val="20"/>
          <w:u w:val="single"/>
        </w:rPr>
        <w:t>Company Deliveries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bookmarkStart w:id="274" w:name="OLE_LINK215"/>
      <w:bookmarkStart w:id="275" w:name="OLE_LINK214"/>
      <w:bookmarkEnd w:id="274"/>
      <w:bookmarkEnd w:id="275"/>
      <w:r>
        <w:rPr>
          <w:rFonts w:ascii="Times New Roman" w:hAnsi="Times New Roman"/>
          <w:color w:val="000000"/>
          <w:sz w:val="20"/>
        </w:rPr>
        <w:t>9.1.1.     On the date hereof, the Company shall deliver each of the following:</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9.1.1.1    This Agreement duly executed by the Company.</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bookmarkStart w:id="276" w:name="OLE_LINK108"/>
      <w:bookmarkStart w:id="277" w:name="OLE_LINK107"/>
      <w:bookmarkEnd w:id="276"/>
      <w:bookmarkEnd w:id="277"/>
      <w:r>
        <w:rPr>
          <w:rFonts w:ascii="Times New Roman" w:hAnsi="Times New Roman"/>
          <w:color w:val="000000"/>
          <w:sz w:val="20"/>
        </w:rPr>
        <w:t>9.1.1.2    A cold comfort letter from the Company’s auditor, addressed to the Placement Agent in form and substance reasonably satisfactory in all material respects.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9.1.1.3    A certificate executed by the Chief Financial Officer of the Company in customary form reasonably satisfactory to the Placement Agent and its counsel.</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9.1.1.4    The Lock-Up Agreements</w:t>
      </w:r>
      <w:bookmarkStart w:id="278" w:name="OLE_LINK111"/>
      <w:bookmarkStart w:id="279" w:name="OLE_LINK110"/>
      <w:bookmarkEnd w:id="278"/>
      <w:bookmarkEnd w:id="279"/>
      <w:r>
        <w:rPr>
          <w:rFonts w:ascii="Times New Roman" w:hAnsi="Times New Roman"/>
          <w:color w:val="000000"/>
          <w:sz w:val="20"/>
        </w:rPr>
        <w:t xml:space="preserve"> duly executed by the parties thereto.</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9.1.2.     On or prior to the Closing Date, the Company shall deliver each of the following:</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9.1.2.1    Legal opinions of Hunter Taubman Fischer &amp; Li LLC and Carey Olsen Singapore LLP, addressed to the Placement Agent and the Purchasers, in form and substance reasonably acceptable to the Placement Agent and Purchasers.</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9.1.2.2    A negative assurance letter from Hunter Taubman Fischer &amp; Li LLC, addressed to the Placement Agent and dated the Closing Date, in a form reasonably satisfactory to the Placement Agent.</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9.1.2.3    A copy of the irrevocable instructions to the Transfer Agent instructing the Transfer Agent to deliver, on an expedited basis, a certificate (or at the request of a Purchaser, book-entry statement) evidencing a number of Shares equal to such Purchaser’s Subscription Amount divided by the Per Share Purchase Price, registered in the name of such Purchaser.</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9.1.2.4    The Company shall have provided each Purchaser with the Company’s wire instructions, on Company letterhead and executed by the Chief Executive Officer or Chief Financial Officer.</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9.1.2.5    The Company shall have provided Cathay the signed flow of funds executed by the Chief Executive Officer or Chief Financial Officer.</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9.1.2.6    A duly executed and delivered Officers’ Certificate, in customary form reasonably satisfactory to the Placement Agent and its counsel.</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9.1.2.7    A bring down to the cold comfort letter from the Company’s auditor, addressed to the Placement Agent in form and substance reasonably satisfactory in all material respects.</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9.1.2.8    The good standing certificates for the Company and the entities listed in Exhibit A hereto, dated within three business days prior to the Closing Date.</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9.1.2.9    The Prospectus and Final Prospectus (which may be delivered in accordance with Rule 172 under the Securities 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80" w:name="zebe653fd46f84f2aae4e67bae29c30cf"/>
      <w:bookmarkStart w:id="281" w:name="zebe653fd46f84f2aae4e67bae29c30cf"/>
      <w:bookmarkEnd w:id="281"/>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10.</w:t>
            </w:r>
          </w:p>
        </w:tc>
        <w:tc>
          <w:tcPr>
            <w:tcW w:w="9921" w:type="dxa"/>
            <w:tcBorders/>
            <w:vAlign w:val="center"/>
          </w:tcPr>
          <w:p>
            <w:pPr>
              <w:pStyle w:val="TableContents"/>
              <w:bidi w:val="0"/>
              <w:spacing w:before="0" w:after="0"/>
              <w:jc w:val="both"/>
              <w:rPr/>
            </w:pPr>
            <w:r>
              <w:rPr>
                <w:b/>
                <w:u w:val="single"/>
              </w:rPr>
              <w:t>Conditions of the Obligations of the Placement Agent</w:t>
            </w:r>
            <w:r>
              <w:rPr/>
              <w:t>. The obligations of the Placement Agent hereunder shall be subject to the accuracy of the representations and warranties on the part of the Company set forth in the Securities Purchase Agreement (on which the Company authorizes the Placement Agent to rely), in each case, as of the date hereof and as of the Closing Date as though then made, to the timely performance by each of the Company of its covenants and other obligations hereunder on and as of such dates, and to each of the following additional conditions:</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10.1.       </w:t>
      </w:r>
      <w:r>
        <w:rPr>
          <w:rFonts w:ascii="Times New Roman" w:hAnsi="Times New Roman"/>
          <w:b/>
          <w:color w:val="000000"/>
          <w:sz w:val="20"/>
          <w:u w:val="single"/>
        </w:rPr>
        <w:t>Regulatory Matters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10.1.1.   </w:t>
      </w:r>
      <w:r>
        <w:rPr>
          <w:rFonts w:ascii="Times New Roman" w:hAnsi="Times New Roman"/>
          <w:b/>
          <w:color w:val="000000"/>
          <w:sz w:val="20"/>
          <w:u w:val="single"/>
        </w:rPr>
        <w:t>Effectiveness of Registration Statement; Rule 424 Information</w:t>
      </w:r>
      <w:r>
        <w:rPr>
          <w:rFonts w:ascii="Times New Roman" w:hAnsi="Times New Roman"/>
          <w:color w:val="000000"/>
          <w:sz w:val="20"/>
        </w:rPr>
        <w:t>. The Registration Statement is effective on the date of this Agreement, and, on the Closing Date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 All filings with the Commission required by Rule 424 under the Securities Act to have been filed by the Closing Date shall have been made within the applicable time period prescribed for such filing by Rule 424.</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10.1.2.   </w:t>
      </w:r>
      <w:r>
        <w:rPr>
          <w:rFonts w:ascii="Times New Roman" w:hAnsi="Times New Roman"/>
          <w:b/>
          <w:color w:val="000000"/>
          <w:sz w:val="20"/>
          <w:u w:val="single"/>
        </w:rPr>
        <w:t>FINRA Clearance</w:t>
      </w:r>
      <w:r>
        <w:rPr>
          <w:rFonts w:ascii="Times New Roman" w:hAnsi="Times New Roman"/>
          <w:color w:val="000000"/>
          <w:sz w:val="20"/>
        </w:rPr>
        <w:t>. On or before the Closing Date, the Placement Agent shall have received clearance from FINRA as to the amount of compensation allowable or payable to the Placement Agent as described in the Registration Statement.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10.1.3.   </w:t>
      </w:r>
      <w:r>
        <w:rPr>
          <w:rFonts w:ascii="Times New Roman" w:hAnsi="Times New Roman"/>
          <w:b/>
          <w:color w:val="000000"/>
          <w:sz w:val="20"/>
          <w:u w:val="single"/>
        </w:rPr>
        <w:t>Listing of Additional Shares</w:t>
      </w:r>
      <w:r>
        <w:rPr>
          <w:rFonts w:ascii="Times New Roman" w:hAnsi="Times New Roman"/>
          <w:color w:val="000000"/>
          <w:sz w:val="20"/>
        </w:rPr>
        <w:t>. On or before the Closing Date, the Company shall have filed a notice with the Nasdaq with respect to the Company’s additional listing of the securities sold in the Placement.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10.2.      </w:t>
      </w:r>
      <w:r>
        <w:rPr>
          <w:rFonts w:ascii="Times New Roman" w:hAnsi="Times New Roman"/>
          <w:b/>
          <w:color w:val="000000"/>
          <w:sz w:val="20"/>
          <w:u w:val="single"/>
        </w:rPr>
        <w:t>Closing Deliverables</w:t>
      </w:r>
      <w:r>
        <w:rPr>
          <w:rFonts w:ascii="Times New Roman" w:hAnsi="Times New Roman"/>
          <w:color w:val="000000"/>
          <w:sz w:val="20"/>
        </w:rPr>
        <w:t>. The Company shall have delivered all closing deliverables to the Placement Agent as set forth in Section 9.1 as of the time required and in form reasonably satisfactory to the Placement Agent.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10.2.1.   </w:t>
      </w:r>
      <w:r>
        <w:rPr>
          <w:rFonts w:ascii="Times New Roman" w:hAnsi="Times New Roman"/>
          <w:b/>
          <w:color w:val="000000"/>
          <w:sz w:val="20"/>
          <w:u w:val="single"/>
        </w:rPr>
        <w:t>No Material Changes</w:t>
      </w:r>
      <w:r>
        <w:rPr>
          <w:rFonts w:ascii="Times New Roman" w:hAnsi="Times New Roman"/>
          <w:color w:val="000000"/>
          <w:sz w:val="20"/>
        </w:rPr>
        <w:t>. Prior to and on the Closing Date: (i) there shall have been no Material Adverse Effect or development involving a prospective Material Adverse Effect in the condition or the business activities, financial or otherwise, of the Company from the latest dates as of which such condition is set forth in the Registration Statement, the Disclosure Package and the Prospectus; (ii) no action, suit or proceeding, at law or in equity, shall have been pending or threatened against the Company or any affiliates of the Company before or by any court or federal or state commission, board or other administrative agency wherein an unfavorable decision, ruling or finding would reasonably be expected to materially adversely affect the business, operations, prospects or financial condition or income of the Company, except as set forth in the Registration Statement and the Prospectus; (iii) no stop order shall have been issued under the Securities Act and no proceedings therefor shall have been initiated or threatened by the Commission; and (iv) the Registration Statement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 “Disclosure Package” means the Preliminary Prospectus and any issuer free writing prospectus, as defined in Rule 433 of the Securities 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 xml:space="preserve">10.2.2.   </w:t>
      </w:r>
      <w:r>
        <w:rPr>
          <w:rFonts w:ascii="Times New Roman" w:hAnsi="Times New Roman"/>
          <w:b/>
          <w:color w:val="000000"/>
          <w:sz w:val="20"/>
          <w:u w:val="single"/>
        </w:rPr>
        <w:t>Additional Documents</w:t>
      </w:r>
      <w:r>
        <w:rPr>
          <w:rFonts w:ascii="Times New Roman" w:hAnsi="Times New Roman"/>
          <w:color w:val="000000"/>
          <w:sz w:val="20"/>
        </w:rPr>
        <w:t>. At the Closing Date, Placement Agent’s counsel shall have been furnished with such documents and opinions as they may reasonably require upon written request therefor no later than three (3) business days prior to the Closing Date in order to evidence the accuracy of any of the representations or warranties, or the fulfillment of any of the conditions, herein contained; and all proceedings taken by the Company in connection with the issuance and sale of the Securities as herein contemplated shall be reasonably satisfactory in form and substance to the Placement Agent and Placement Agent’s counsel.</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2" w:name="zd66e1eaa3fde4216879f372ce5b0fb70"/>
      <w:bookmarkStart w:id="283" w:name="zd66e1eaa3fde4216879f372ce5b0fb70"/>
      <w:bookmarkEnd w:id="283"/>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11.</w:t>
            </w:r>
          </w:p>
        </w:tc>
        <w:tc>
          <w:tcPr>
            <w:tcW w:w="9912" w:type="dxa"/>
            <w:tcBorders/>
            <w:vAlign w:val="center"/>
          </w:tcPr>
          <w:p>
            <w:pPr>
              <w:pStyle w:val="TableContents"/>
              <w:bidi w:val="0"/>
              <w:spacing w:before="0" w:after="0"/>
              <w:jc w:val="both"/>
              <w:rPr/>
            </w:pPr>
            <w:r>
              <w:rPr>
                <w:b/>
                <w:u w:val="single"/>
              </w:rPr>
              <w:t>Prior Agreement</w:t>
            </w:r>
            <w:r>
              <w:rPr/>
              <w:t>. By entering into this Agreement, the parties agree that the certain letter of engagement, dated May 13, 2026, entered into between the same parties hereof, shall automatically terminate and cease to have any force or effect whatsoever and shall be superseded in its entirety by this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4" w:name="z435cc291bd384884af76045d892acccb"/>
      <w:bookmarkStart w:id="285" w:name="z435cc291bd384884af76045d892acccb"/>
      <w:bookmarkEnd w:id="285"/>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bookmarkStart w:id="286" w:name="OLE_LINK204"/>
            <w:bookmarkStart w:id="287" w:name="OLE_LINK203"/>
            <w:bookmarkStart w:id="288" w:name="OLE_LINK202"/>
            <w:bookmarkStart w:id="289" w:name="z_Ref151307749"/>
            <w:bookmarkEnd w:id="286"/>
            <w:bookmarkEnd w:id="287"/>
            <w:bookmarkEnd w:id="288"/>
            <w:bookmarkEnd w:id="289"/>
            <w:r>
              <w:rPr/>
              <w:t>12.</w:t>
            </w:r>
          </w:p>
        </w:tc>
        <w:tc>
          <w:tcPr>
            <w:tcW w:w="9928" w:type="dxa"/>
            <w:tcBorders/>
            <w:vAlign w:val="center"/>
          </w:tcPr>
          <w:p>
            <w:pPr>
              <w:pStyle w:val="TableContents"/>
              <w:bidi w:val="0"/>
              <w:spacing w:before="0" w:after="0"/>
              <w:jc w:val="both"/>
              <w:rPr/>
            </w:pPr>
            <w:r>
              <w:rPr>
                <w:b/>
                <w:u w:val="single"/>
              </w:rPr>
              <w:t>Termination</w:t>
            </w:r>
            <w:r>
              <w:rPr/>
              <w:t>. Either party may terminate this Agreement at any time by providing the other party with 30 days written notice. Notwithstanding anything to the contrary contained herein, the Company agrees that the provisions relating to the payment of fees, reimbursement of expenses, right of first refusal, indemnification and contribution, equitable remedies, confidentiality, conflicts, independent contractor and waiver of the right to trial by jury will survive any termination or expiration of this Agreement. Notwithstanding anything to the contrary contained herein, the Company has the right to terminate this Agreement at any time for cause in compliance with FINRA Rule 5110(g)(5)(B)(i). The exercise of such right of termination for cause eliminates the Company’s obligations with respect to the provisions relating to right of first refusal</w:t>
            </w:r>
            <w:bookmarkStart w:id="290" w:name="OLE_LINK205"/>
            <w:bookmarkStart w:id="291" w:name="z_Hlk151306609"/>
            <w:bookmarkEnd w:id="290"/>
            <w:bookmarkEnd w:id="291"/>
            <w:r>
              <w:rPr/>
              <w:t xml:space="preserve">. Notwithstanding anything to the contrary contained in this Agreement, in the event that </w:t>
            </w:r>
            <w:bookmarkStart w:id="292" w:name="OLE_LINK20"/>
            <w:bookmarkStart w:id="293" w:name="OLE_LINK19"/>
            <w:bookmarkEnd w:id="292"/>
            <w:bookmarkEnd w:id="293"/>
            <w:r>
              <w:rPr/>
              <w:t>no Placement is completed for any reason whatsoever during the Engagement Period, the Company shall be obligated to pay to Cathay its actual and accountable out-of-pocket expenses related to the Placement (including the fees and disbursements of Placement Agent’s legal counsel) and if applicable, for electronic road show service used in connection with the Placement, not to exceed $100,000. During the engagement hereunder: (i) the Company will not, and will not permit its representatives to, other than in coordination with Cathay, contact or solicit institutions, corporations or other entities or individuals as potential purchasers of the Securities and (ii) the Company will not pursue any financing transaction which would be in lieu of the Placement. Furthermore, the Company agrees that during Cathay’s engagement hereunder, all inquiries from prospective investors will be referred to Cathay.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94" w:name="zb6d3f311b35c4ddea29ca2a7134599d7"/>
      <w:bookmarkStart w:id="295" w:name="z_Ref76920233"/>
      <w:bookmarkStart w:id="296" w:name="zb6d3f311b35c4ddea29ca2a7134599d7"/>
      <w:bookmarkStart w:id="297" w:name="z_Ref76920233"/>
      <w:bookmarkEnd w:id="296"/>
      <w:bookmarkEnd w:id="297"/>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13.</w:t>
            </w:r>
          </w:p>
        </w:tc>
        <w:tc>
          <w:tcPr>
            <w:tcW w:w="9917" w:type="dxa"/>
            <w:tcBorders/>
            <w:vAlign w:val="center"/>
          </w:tcPr>
          <w:p>
            <w:pPr>
              <w:pStyle w:val="TableContents"/>
              <w:bidi w:val="0"/>
              <w:spacing w:before="0" w:after="0"/>
              <w:jc w:val="both"/>
              <w:rPr/>
            </w:pPr>
            <w:r>
              <w:rPr>
                <w:b/>
                <w:u w:val="single"/>
              </w:rPr>
              <w:t>Publicity</w:t>
            </w:r>
            <w:r>
              <w:rPr/>
              <w:t>. The Company agrees that it will not issue press releases or engage in any other publicity, without Cathay’s prior written consent, which consent shall not be unreasonably withheld, conditioned or delayed, commencing on the date hereof and continuing until the final closing of the Placement (the “</w:t>
            </w:r>
            <w:r>
              <w:rPr>
                <w:b/>
                <w:u w:val="single"/>
              </w:rPr>
              <w:t>Closing</w:t>
            </w:r>
            <w:r>
              <w:rPr/>
              <w:t>”), except as required by applicable laws, regulations or rules by the Commission or by Nasdaq.</w:t>
            </w:r>
            <w:bookmarkStart w:id="298" w:name="z_Ref76814900"/>
            <w:bookmarkStart w:id="299" w:name="z_Ref396317260"/>
            <w:bookmarkEnd w:id="298"/>
            <w:bookmarkEnd w:id="299"/>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0" w:name="z7f3c2ed58ec24c8eafd3bf774b1824f9"/>
      <w:bookmarkStart w:id="301" w:name="z7f3c2ed58ec24c8eafd3bf774b1824f9"/>
      <w:bookmarkEnd w:id="301"/>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bookmarkStart w:id="302" w:name="z_Ref76920235"/>
            <w:bookmarkEnd w:id="302"/>
            <w:r>
              <w:rPr/>
              <w:t>14.</w:t>
            </w:r>
          </w:p>
        </w:tc>
        <w:tc>
          <w:tcPr>
            <w:tcW w:w="9928" w:type="dxa"/>
            <w:tcBorders/>
            <w:vAlign w:val="center"/>
          </w:tcPr>
          <w:p>
            <w:pPr>
              <w:pStyle w:val="TableContents"/>
              <w:bidi w:val="0"/>
              <w:spacing w:before="0" w:after="0"/>
              <w:jc w:val="both"/>
              <w:rPr/>
            </w:pPr>
            <w:r>
              <w:rPr>
                <w:b/>
                <w:u w:val="single"/>
              </w:rPr>
              <w:t>Information</w:t>
            </w:r>
            <w:r>
              <w:rPr/>
              <w:t>. During the Engagement Period or until the Closing, the Company agrees to cooperate with Cathay and to furnish, or cause to be furnished, to Cathay, any and all information and data concerning the Company, and the Placement that Cathay deems appropriate (the “</w:t>
            </w:r>
            <w:r>
              <w:rPr>
                <w:b/>
                <w:u w:val="single"/>
              </w:rPr>
              <w:t>Information</w:t>
            </w:r>
            <w:r>
              <w:rPr/>
              <w:t>”). The Company will provide Cathay reasonable access during normal business hours from and after the date of execution of this Agreement until the Closing to all of the Company’s assets, properties, books, contracts, commitments and records and to the Company’s officers, directors, employees, appraisers, independent accountants, legal counsel and other consultants and advisors. Except as contemplated by the terms hereof or as required by applicable law, Cathay will keep strictly confidential all non-public Information concerning the Company provided to Cathay. No obligation of confidentiality will apply to Information that: (a) is in the public domain as of the date hereof or hereafter enters the public domain without a breach by Cathay, (b) was known or became known by Cathay prior to the Company’s disclosure thereof to Cathay as demonstrated by the existence of its written records, (c) becomes known to Cathay from a source other than the Company which information is not provided by the breach of an obligation of confidentiality owed to the Company, (d) is disclosed by the Company to a third party without restrictions on its disclosure, (e) is independently developed by Cathay as demonstrated by its written records, or (f) is required to be disclosed by applicable laws, regulations or rules by the Commission or by Nasdaq.</w:t>
            </w:r>
            <w:bookmarkStart w:id="303" w:name="z_Ref396314140"/>
            <w:bookmarkEnd w:id="303"/>
            <w:r>
              <w:rPr/>
              <w:t xml:space="preserve"> For the avoidance of doubt, except as otherwise provided herein, all information which is not publicly available relating to the Company’s proprietary technology is proprietary and confidential.</w:t>
            </w:r>
            <w:bookmarkStart w:id="304" w:name="z_Ref484702681"/>
            <w:bookmarkEnd w:id="304"/>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5" w:name="z3c90514fed9d42beb33fca64bdc99d84"/>
      <w:bookmarkStart w:id="306" w:name="z3c90514fed9d42beb33fca64bdc99d84"/>
      <w:bookmarkEnd w:id="306"/>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bookmarkStart w:id="307" w:name="z_Ref76920238"/>
            <w:bookmarkEnd w:id="307"/>
            <w:r>
              <w:rPr/>
              <w:t>15.</w:t>
            </w:r>
          </w:p>
        </w:tc>
        <w:tc>
          <w:tcPr>
            <w:tcW w:w="9927" w:type="dxa"/>
            <w:tcBorders/>
            <w:vAlign w:val="center"/>
          </w:tcPr>
          <w:p>
            <w:pPr>
              <w:pStyle w:val="TableContents"/>
              <w:bidi w:val="0"/>
              <w:spacing w:before="0" w:after="0"/>
              <w:jc w:val="both"/>
              <w:rPr/>
            </w:pPr>
            <w:r>
              <w:rPr>
                <w:b/>
                <w:u w:val="single"/>
              </w:rPr>
              <w:t>No Third Party Beneficiaries; No Fiduciary Obligations</w:t>
            </w:r>
            <w:r>
              <w:rPr/>
              <w:t>. This Agreement does not create, and shall not be construed as creating, rights enforceable by any person or entity not a party hereto, except those entitled hereto by virtue of the indemnification provisions hereof. The Company acknowledges and agrees that: (i) Cathay is not and shall not be construed as a fiduciary of the Company and shall have no duties or liabilities to the equity holders or the creditors of the Company or any other person or entity by virtue of this Agreement or the retention of Cathay hereunder, all of which are hereby expressly waived; and (ii) Cathay is a full service securities firm engaged in a wide range of businesses and from time to time, in the ordinary course of its business, Cathay or its affiliates may hold long or short positions and trade or otherwise effect transactions for its own account or the account of its customers in debt or equity securities or loans of the companies which may be the subject of the transactions contemplated by this Agreement. During the course of Cathay’s engagement with the Company, Cathay may have in its possession material, non-public information regarding other companies that could potentially be relevant to the Company or the transactions contemplated herein but which cannot be shared due to an obligation of confidence to such other companies.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08" w:name="z102f5d1944484977b3fbec72d5a206a0"/>
      <w:bookmarkStart w:id="309" w:name="z_Ref396392200"/>
      <w:bookmarkStart w:id="310" w:name="z102f5d1944484977b3fbec72d5a206a0"/>
      <w:bookmarkStart w:id="311" w:name="z_Ref396392200"/>
      <w:bookmarkEnd w:id="310"/>
      <w:bookmarkEnd w:id="311"/>
    </w:p>
    <w:tbl>
      <w:tblPr>
        <w:tblW w:w="5425" w:type="dxa"/>
        <w:jc w:val="left"/>
        <w:tblInd w:w="0" w:type="dxa"/>
        <w:tblLayout w:type="fixed"/>
        <w:tblCellMar>
          <w:top w:w="0" w:type="dxa"/>
          <w:left w:w="0" w:type="dxa"/>
          <w:bottom w:w="0" w:type="dxa"/>
          <w:right w:w="0" w:type="dxa"/>
        </w:tblCellMar>
      </w:tblPr>
      <w:tblGrid>
        <w:gridCol w:w="335"/>
        <w:gridCol w:w="5090"/>
      </w:tblGrid>
      <w:tr>
        <w:trPr/>
        <w:tc>
          <w:tcPr>
            <w:tcW w:w="335" w:type="dxa"/>
            <w:tcBorders/>
            <w:vAlign w:val="center"/>
          </w:tcPr>
          <w:p>
            <w:pPr>
              <w:pStyle w:val="TableContents"/>
              <w:bidi w:val="0"/>
              <w:spacing w:before="0" w:after="283"/>
              <w:jc w:val="left"/>
              <w:rPr/>
            </w:pPr>
            <w:r>
              <w:rPr/>
              <w:t>16.</w:t>
            </w:r>
          </w:p>
        </w:tc>
        <w:tc>
          <w:tcPr>
            <w:tcW w:w="5090" w:type="dxa"/>
            <w:tcBorders/>
            <w:vAlign w:val="center"/>
          </w:tcPr>
          <w:p>
            <w:pPr>
              <w:pStyle w:val="TableContents"/>
              <w:bidi w:val="0"/>
              <w:spacing w:before="0" w:after="0"/>
              <w:jc w:val="both"/>
              <w:rPr/>
            </w:pPr>
            <w:r>
              <w:rPr>
                <w:b/>
                <w:u w:val="single"/>
              </w:rPr>
              <w:t>Indemnification, Reimbursement &amp; Contribution</w:t>
            </w:r>
            <w:r>
              <w:rPr/>
              <w:t>.</w:t>
            </w:r>
          </w:p>
        </w:tc>
      </w:tr>
    </w:tbl>
    <w:p>
      <w:pPr>
        <w:pStyle w:val="TextBody"/>
        <w:bidi w:val="0"/>
        <w:spacing w:before="0" w:after="0"/>
        <w:ind w:left="720" w:right="0" w:hanging="0"/>
        <w:jc w:val="both"/>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16.1.      </w:t>
      </w:r>
      <w:r>
        <w:rPr>
          <w:rFonts w:ascii="Times New Roman" w:hAnsi="Times New Roman"/>
          <w:b/>
          <w:color w:val="000000"/>
          <w:sz w:val="20"/>
          <w:u w:val="single"/>
        </w:rPr>
        <w:t>Indemnification</w:t>
      </w:r>
      <w:r>
        <w:rPr>
          <w:rFonts w:ascii="Times New Roman" w:hAnsi="Times New Roman"/>
          <w:color w:val="000000"/>
          <w:sz w:val="20"/>
        </w:rPr>
        <w:t>. The Company agrees to indemnify and hold harmless Cathay, its affiliates and each person controlling Cathay (within the meaning of Section 15 of the Securities Act), and the directors, officers, agents and employees of Cathay, its affiliates and each such controlling person (Cathay, and each such entity or person hereafter is referred to as an “</w:t>
      </w:r>
      <w:r>
        <w:rPr>
          <w:rFonts w:ascii="Times New Roman" w:hAnsi="Times New Roman"/>
          <w:b/>
          <w:color w:val="000000"/>
          <w:sz w:val="20"/>
          <w:u w:val="single"/>
        </w:rPr>
        <w:t>Indemnified Person</w:t>
      </w:r>
      <w:r>
        <w:rPr>
          <w:rFonts w:ascii="Times New Roman" w:hAnsi="Times New Roman"/>
          <w:color w:val="000000"/>
          <w:sz w:val="20"/>
        </w:rPr>
        <w:t>”) from and against any losses, claims, damages, judgments, assessments, costs and other liabilities (collectively, the “</w:t>
      </w:r>
      <w:r>
        <w:rPr>
          <w:rFonts w:ascii="Times New Roman" w:hAnsi="Times New Roman"/>
          <w:b/>
          <w:color w:val="000000"/>
          <w:sz w:val="20"/>
          <w:u w:val="single"/>
        </w:rPr>
        <w:t>Liabilities</w:t>
      </w:r>
      <w:r>
        <w:rPr>
          <w:rFonts w:ascii="Times New Roman" w:hAnsi="Times New Roman"/>
          <w:color w:val="000000"/>
          <w:sz w:val="20"/>
        </w:rPr>
        <w:t>”), and shall reimburse each Indemnified Person for all reasonable fees and expenses (including the reasonable fees and expenses of counsel for the Indemnified Persons) (collectively, the “</w:t>
      </w:r>
      <w:r>
        <w:rPr>
          <w:rFonts w:ascii="Times New Roman" w:hAnsi="Times New Roman"/>
          <w:b/>
          <w:color w:val="000000"/>
          <w:sz w:val="20"/>
          <w:u w:val="single"/>
        </w:rPr>
        <w:t>Expenses</w:t>
      </w:r>
      <w:r>
        <w:rPr>
          <w:rFonts w:ascii="Times New Roman" w:hAnsi="Times New Roman"/>
          <w:color w:val="000000"/>
          <w:sz w:val="20"/>
        </w:rPr>
        <w:t>”) and agrees to reimburse payment of such Expenses as they are incurred by an Indemnified Person in investigating, preparing, pursuing or defending any actions, whether or not any Indemnified Person is a party thereto, arising out of or based upon (i) any untrue statement or alleged untrue statement of a material fact contained in (A) the Registration Statement, Prospectus or any other offering documents (as from time to time each may be amended and supplemented), (B) any materials or information provided to investors by, or with the approval of, the Company in connection with the marketing of the Placement, including any “road show” or investor presentations made to investors by the Company (whether in person or electronically), or (C) any application or other document or written communication (collectively called “application”) executed by the Company or based upon written information furnished by the Company in any jurisdiction in order to qualify the Securities under the securities laws thereof or to file for an exemption from such requirement or filed with the Commission, any state securities commission or agency, any national securities exchange; or (ii)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information provided to the Company by Cathay in writing specifically for use in the Registration Statement, Prospectus or any other offering documents with respect which or resulting from conduct by Cathay or another Indemnified Party, as to which Cathay shall indemnify and hold harmless the Company, its officers, directors and controlling parties in the manner set forth in this Section 16. The Company also agrees to reimburse each Indemnified Person for all reasonable Expenses as they are incurred in connection with such Indemnified Person’s enforcement of his or its rights under this Section 16.</w:t>
      </w:r>
    </w:p>
    <w:p>
      <w:pPr>
        <w:pStyle w:val="TextBody"/>
        <w:bidi w:val="0"/>
        <w:spacing w:before="0" w:after="0"/>
        <w:ind w:left="72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16.2.      </w:t>
      </w:r>
      <w:r>
        <w:rPr>
          <w:rFonts w:ascii="Times New Roman" w:hAnsi="Times New Roman"/>
          <w:b/>
          <w:color w:val="000000"/>
          <w:sz w:val="20"/>
          <w:u w:val="single"/>
        </w:rPr>
        <w:t>Procedure</w:t>
      </w:r>
      <w:r>
        <w:rPr>
          <w:rFonts w:ascii="Times New Roman" w:hAnsi="Times New Roman"/>
          <w:color w:val="000000"/>
          <w:sz w:val="20"/>
        </w:rPr>
        <w:t>. Upon receipt by an Indemnified Person of actual notice of an action against such Indemnified Person with respect to which indemnity may reasonably be expected to be sought under this Section 16, such Indemnified Person shall promptly notify the Company in writing; provided that failure by any Indemnified Person so to notify the Company shall not relieve the Company from any obligation or liability which the Company may have on account of this Section 16 or otherwise to such Indemnified Person. The Company shall, if requested by Cathay, assume the defense of any such action (including the employment of counsel designated by Cathay and reasonably satisfactory to the Company).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separate counsel reasonably acceptable to Cathay for the benefit of Cathay and the other Indemnified Persons or (ii) such Indemnified Person shall have been advised that in the opinion of counsel that there is an actual or potential conflict of interest that prevents (or makes it imprudent for) the counsel designated by and engaged by the Company for the purpose of representing the Indemnified Person, to represent both such Indemnified Person and any other person represented or proposed to be represented by such counsel, in which event the Company shall pay the reasonable fees and expenses of one counsel for all Indemnified Parties, which counsel shall, if Cathay is a defendant, be designated by Cathay. The Company shall not be liable for any settlement of any action effected without its written consent (which shall not be unreasonably withheld). In addition, the Company shall not, without the prior written consent of Cathay, settle, compromise or consent to the entry of any judgment in or otherwise seek to terminate any pending or threatened action in respect of which reimbursement, indemnification or contribution may be sought hereunder (whether or not such Indemnified Person is a party thereto) unless such settlement, compromise, consent or termination (i) includes an unconditional release of each Indemnified Person, acceptable to such Indemnified Party, from all Liabilities arising out of such action for which indemnification or contribution may be sought hereunder and (ii) does not include a statement as to or an admission of fault, culpability or a failure to act, by or on behalf of any Indemnified Person. The reimbursement, indemnification and contribution obligations of the Company required hereby shall be made by periodic payments of the amount thereof during the course of the investigation or defense, as every Liability and Expense is incurred and is due and payable, and in such amounts as fully satisfy each and every Liability and Expense as it is incurred (and in no event later than 30 calendar days following the date of any invoice therefor for any undisputed amount).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312" w:name="z_Ref151329966"/>
      <w:bookmarkEnd w:id="312"/>
      <w:r>
        <w:rPr>
          <w:rFonts w:ascii="Times New Roman" w:hAnsi="Times New Roman"/>
          <w:color w:val="000000"/>
          <w:sz w:val="20"/>
        </w:rPr>
        <w:t xml:space="preserve">16.3.      </w:t>
      </w:r>
      <w:r>
        <w:rPr>
          <w:rFonts w:ascii="Times New Roman" w:hAnsi="Times New Roman"/>
          <w:b/>
          <w:color w:val="000000"/>
          <w:sz w:val="20"/>
          <w:u w:val="single"/>
        </w:rPr>
        <w:t>Contribution</w:t>
      </w:r>
      <w:r>
        <w:rPr>
          <w:rFonts w:ascii="Times New Roman" w:hAnsi="Times New Roman"/>
          <w:color w:val="000000"/>
          <w:sz w:val="20"/>
        </w:rPr>
        <w:t>. In the event that a court of competent jurisdiction makes a finding, final beyond right of review, that indemnity is unavailable to an Indemnified Person, the Company shall contribute to the Liabilities and Expenses paid or payable by such Indemnified Person in such proportion as is appropriate to reflect (i) the relative benefits to the Company, on the one hand, and to Cathay and any other Indemnified Person, on the other hand, of the matters contemplated by this Section 16 or (ii) if the allocation provided by the immediately preceding clause is not permitted by applicable law, not only such relative benefits but also the relative fault of the Company, on the one hand, and Cathay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commissions and non-accountable expense allowance actually received by Cathay in the Placement. The relative fault shall be determined by reference to, among other things, whether the untrue or alleged untrue statement of a material fact or the omission or alleged omission to state a material fact relates to information supplied by the Company on the one hand or Cathay on the other and the parties’ relative intent, knowledge, access to information and opportunity to correct or prevent such statement or omission. The Company and Cathay agree that it would not be just and equitable if contributions pursuant to this subsection 16.3 were determined by pro rata allocation or by any other method of allocation which does not take account of the equitable considerations referred to above in this subsection 16.3. For purposes of this paragraph, the relative benefits to the Company, on the one hand, and to Cathay on the other hand, of the matters contemplated by this Section 16 shall be deemed to be in the same proportion as: (a) the total value actually received by the Company in the Placement, whether or not such Placement is consummated, bears to (b) the commissions paid to Cathay under the Placement Agent Agreement. Notwithstanding the above, no person guilty of fraudulent misrepresentation within the meaning of Section 11(f) of the Securities Act shall be entitled to contribution from a party who was not guilty of fraudulent misrepresentation.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16.4.      </w:t>
      </w:r>
      <w:r>
        <w:rPr>
          <w:rFonts w:ascii="Times New Roman" w:hAnsi="Times New Roman"/>
          <w:b/>
          <w:color w:val="000000"/>
          <w:sz w:val="20"/>
          <w:u w:val="single"/>
        </w:rPr>
        <w:t>Limitation</w:t>
      </w:r>
      <w:r>
        <w:rPr>
          <w:rFonts w:ascii="Times New Roman" w:hAnsi="Times New Roman"/>
          <w:color w:val="000000"/>
          <w:sz w:val="20"/>
        </w:rPr>
        <w:t>. 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to the extent that a court of competent jurisdiction has made a finding that Liabilities (and related Expenses) of the Company have resulted exclusively from such Indemnified Person’s fraud, bad faith, gross negligence or willful misconduct in connection with any such advice, actions, inactions or services.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3" w:name="zb373fa03ce3c42ed8f8075f345b0addc"/>
      <w:bookmarkStart w:id="314" w:name="zb373fa03ce3c42ed8f8075f345b0addc"/>
      <w:bookmarkEnd w:id="314"/>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bookmarkStart w:id="315" w:name="z_Ref396314148"/>
            <w:bookmarkStart w:id="316" w:name="z_Ref140072872"/>
            <w:bookmarkEnd w:id="315"/>
            <w:bookmarkEnd w:id="316"/>
            <w:r>
              <w:rPr/>
              <w:t>17.</w:t>
            </w:r>
          </w:p>
        </w:tc>
        <w:tc>
          <w:tcPr>
            <w:tcW w:w="9926" w:type="dxa"/>
            <w:tcBorders/>
            <w:vAlign w:val="center"/>
          </w:tcPr>
          <w:p>
            <w:pPr>
              <w:pStyle w:val="TableContents"/>
              <w:bidi w:val="0"/>
              <w:spacing w:before="0" w:after="0"/>
              <w:jc w:val="both"/>
              <w:rPr/>
            </w:pPr>
            <w:r>
              <w:rPr>
                <w:b/>
                <w:u w:val="single"/>
              </w:rPr>
              <w:t>Equitable Remedies</w:t>
            </w:r>
            <w:r>
              <w:rPr/>
              <w:t xml:space="preserve">. Each party to this Agreement acknowledges and agrees that (a) a breach or threatened breach by the Company of any of its obligations under </w:t>
            </w:r>
            <w:bookmarkStart w:id="317" w:name="OLE_LINK52"/>
            <w:bookmarkStart w:id="318" w:name="OLE_LINK51"/>
            <w:bookmarkEnd w:id="317"/>
            <w:bookmarkEnd w:id="318"/>
            <w:r>
              <w:rPr/>
              <w:t>Section 8 or the exclusivity provisions of Section 1 would give rise to irreparable harm to Cathay for which monetary damages would not be an adequate remedy and (b) if a breach or a threatened breach by the Company of any such obligations occurs, Cathay will, in addition to any and all other rights and remedies that may be available to such party at law, at equity, or otherwise in respect of such breach, be entitled to equitable relief, including a temporary restraining order, an injunction, specific performance of the terms of Section 8 or the exclusivity provisions of Section 1, as applicable, and any other relief that may be available from a court of competent jurisdiction, without any requirement to (i) post a bond or other security, or (ii) prove actual damages or that monetary damages will not afford an adequate remedy. Each party to this Agreement agrees that such party shall not oppose or otherwise challenge the existence of irreparable harm, the appropriateness of equitable relief or the entry by a court of competent jurisdiction of an order granting equitable relief, in either case, consistent with the terms of this Section 17.</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19" w:name="zc50439cc037844bab45e199c5c14da79"/>
      <w:bookmarkStart w:id="320" w:name="zc50439cc037844bab45e199c5c14da79"/>
      <w:bookmarkEnd w:id="320"/>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18.</w:t>
            </w:r>
          </w:p>
        </w:tc>
        <w:tc>
          <w:tcPr>
            <w:tcW w:w="9928" w:type="dxa"/>
            <w:tcBorders/>
            <w:vAlign w:val="center"/>
          </w:tcPr>
          <w:p>
            <w:pPr>
              <w:pStyle w:val="TableContents"/>
              <w:bidi w:val="0"/>
              <w:spacing w:before="0" w:after="0"/>
              <w:jc w:val="both"/>
              <w:rPr/>
            </w:pPr>
            <w:r>
              <w:rPr>
                <w:b/>
                <w:u w:val="single"/>
              </w:rPr>
              <w:t>Governing Law; Venue</w:t>
            </w:r>
            <w:r>
              <w:rPr/>
              <w:t>. This Agreement will be deemed to have been made and delivered in the State of New York, U.S., and both the binding provisions of this Agreement and the transactions contemplated hereby will be governed as to validity, interpretation, construction, effect and in all other respects by the internal laws of the State of New York, without regard to the conflict of laws principles thereof. Each of Cathay and the Company: (i) agrees that any legal suit, action or proceeding arising out of or relating to this Agreement and/or the transactions contemplated hereby will be instituted exclusively in the courts located in the Borough of Manhattan, City of New York, County of New York, State of New York, (ii) waives any objection which it may have or hereafter to the venue of any such suit, action or proceeding, and (iii) irrevocably consents to the jurisdiction of the courts located in The City of New York, County of New York and State of New York, in any such suit, action or proceeding. Each of Cathay and the Company further agrees to accept and acknowledge service of any and all process which may be served in any such suit, action or proceeding in such courts and agrees that service of process upon the Company mailed by certified mail to the Company’s address will be deemed in every respect effective service of process upon the Company, in any such suit, action or proceeding, and service of process upon Cathay mailed by certified mail to Cathay’s address will be deemed in every respect effective service process upon Cathay, in any such suit, action or proceeding. Notwithstanding any provision of this Agreement to the contrary, the Company agrees that neither Cathay nor its affiliates, and the respective officers, directors, employees, agents and representatives of Cathay, its affiliates and each other person, if any, controlling Cathay or any of its affiliates, will have any liability (whether direct or indirect, in contract or tort or otherwise) to the Company for or in connection with the engagement and transaction described herein except for any such liability for losses, claims, damages or liabilities incurred by the Company that are finally judicially determined to have resulted from the fraud, willful negligence, bad faith or gross negligence of such individuals or entities. Cathay will act under this Agreement as an independent contractor with duties to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1" w:name="zfe798058ad204ac2874a1be377a022f0"/>
      <w:bookmarkStart w:id="322" w:name="zfe798058ad204ac2874a1be377a022f0"/>
      <w:bookmarkEnd w:id="322"/>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19.</w:t>
            </w:r>
          </w:p>
        </w:tc>
        <w:tc>
          <w:tcPr>
            <w:tcW w:w="9928" w:type="dxa"/>
            <w:tcBorders/>
            <w:vAlign w:val="center"/>
          </w:tcPr>
          <w:p>
            <w:pPr>
              <w:pStyle w:val="TableContents"/>
              <w:bidi w:val="0"/>
              <w:spacing w:before="0" w:after="0"/>
              <w:jc w:val="both"/>
              <w:rPr/>
            </w:pPr>
            <w:r>
              <w:rPr>
                <w:b/>
                <w:u w:val="single"/>
              </w:rPr>
              <w:t>Miscellaneous</w:t>
            </w:r>
            <w:r>
              <w:rPr/>
              <w:t>. The Company represents and warrants that it has all required power and authority to enter into and carry out the terms and provisions of this Agreement and the execution, delivery and performance of this Agreement does not breach or conflict with any agreement, document or instrument to which it is a party or bound. The binding provisions of this Agreement are legally binding upon and inure to the benefit of both the Company and Cathay and their respective assigns, successors, and legal representatives, provided that neither this Agreement nor any right or interest hereunder shall be assignable by the Company or Cathay without the prior written consent of the other party hereto. If any provision of this Agreement is determined to be invalid or unenforceable in any respect, such determination will not affect such provision in any other respect, and the remainder of the Agreement shall remain in full force and effect. This Agreement may be executed in counterparts (including electronic counterparts), each of which shall be deemed an original but all of which together shall constitute one and the same instrument. The undersigned hereby consents to receipt of this Agreement in electronic form and understands and agrees that this Agreement may be signed electronically. Signatures to this Agreement transmitted in electronic form will have the same effect as physical delivery of a paper document bearing the original signature, and if any signature is delivered electronically evidencing an intent to sign this Agreement, such electronic mail or other electronic transmission shall create a valid and binding obligation of the undersigned with the same force and effect as if such signature were an original. Execution and delivery of this Agreement by electronic mail or other electronic transmission is legal, valid and binding for all purposes.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If you are in agreement with the foregoing, please sign and return to us one copy of this Agreement. This Agreement may be executed in counterparts (including facsimile or .pdf counterparts), each of which shall be deemed an original but all of which together shall constitute one and the same instrument.</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bookmarkStart w:id="323" w:name="OLE_LINK25"/>
      <w:bookmarkStart w:id="324" w:name="z_Hlk76850020"/>
      <w:bookmarkEnd w:id="323"/>
      <w:bookmarkEnd w:id="324"/>
      <w:r>
        <w:rPr>
          <w:rFonts w:ascii="Times New Roman" w:hAnsi="Times New Roman"/>
          <w:i/>
          <w:color w:val="000000"/>
          <w:sz w:val="20"/>
        </w:rPr>
        <w:t>[</w:t>
      </w:r>
      <w:bookmarkStart w:id="325" w:name="OLE_LINK23"/>
      <w:bookmarkStart w:id="326" w:name="z_Hlk76849937"/>
      <w:bookmarkEnd w:id="325"/>
      <w:bookmarkEnd w:id="326"/>
      <w:r>
        <w:rPr>
          <w:rFonts w:ascii="Times New Roman" w:hAnsi="Times New Roman"/>
          <w:i/>
          <w:color w:val="000000"/>
          <w:sz w:val="20"/>
        </w:rPr>
        <w:t>Signature Page of Best Efforts Follow-On Offering Placement Agent Agreement Follows]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[Signature Page of WTF Best Efforts Follow-On Offering Placement Agent Agreement]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27" w:name="ze4c034e1b21446a9bc928bcc71690c7d"/>
      <w:bookmarkStart w:id="328" w:name="ze4c034e1b21446a9bc928bcc71690c7d"/>
      <w:bookmarkEnd w:id="328"/>
    </w:p>
    <w:tbl>
      <w:tblPr>
        <w:tblW w:w="3055" w:type="dxa"/>
        <w:jc w:val="left"/>
        <w:tblInd w:w="0" w:type="dxa"/>
        <w:tblLayout w:type="fixed"/>
        <w:tblCellMar>
          <w:top w:w="0" w:type="dxa"/>
          <w:left w:w="0" w:type="dxa"/>
          <w:bottom w:w="0" w:type="dxa"/>
          <w:right w:w="0" w:type="dxa"/>
        </w:tblCellMar>
      </w:tblPr>
      <w:tblGrid>
        <w:gridCol w:w="60"/>
        <w:gridCol w:w="650"/>
        <w:gridCol w:w="2285"/>
        <w:gridCol w:w="60"/>
      </w:tblGrid>
      <w:tr>
        <w:trPr/>
        <w:tc>
          <w:tcPr>
            <w:tcW w:w="60"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0"/>
              <w:jc w:val="both"/>
              <w:rPr/>
            </w:pPr>
            <w:bookmarkStart w:id="329" w:name="OLE_LINK53"/>
            <w:bookmarkStart w:id="330" w:name="z_Hlk141018186"/>
            <w:bookmarkEnd w:id="329"/>
            <w:bookmarkEnd w:id="330"/>
            <w:r>
              <w:rPr/>
              <w:t>Very truly yours,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0"/>
              <w:jc w:val="left"/>
              <w:rPr/>
            </w:pPr>
            <w:r>
              <w:rPr/>
              <w:t>Cathay Securities,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By:</w:t>
            </w:r>
          </w:p>
        </w:tc>
        <w:tc>
          <w:tcPr>
            <w:tcW w:w="2285" w:type="dxa"/>
            <w:tcBorders>
              <w:bottom w:val="single" w:sz="12" w:space="0" w:color="000000"/>
            </w:tcBorders>
            <w:tcMar>
              <w:bottom w:w="28" w:type="dxa"/>
            </w:tcMar>
            <w:vAlign w:val="center"/>
          </w:tcPr>
          <w:p>
            <w:pPr>
              <w:pStyle w:val="TableContents"/>
              <w:bidi w:val="0"/>
              <w:spacing w:before="0" w:after="0"/>
              <w:jc w:val="left"/>
              <w:rPr/>
            </w:pPr>
            <w:r>
              <w:rPr/>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Name:</w:t>
            </w:r>
          </w:p>
        </w:tc>
        <w:tc>
          <w:tcPr>
            <w:tcW w:w="2285" w:type="dxa"/>
            <w:tcBorders/>
            <w:vAlign w:val="center"/>
          </w:tcPr>
          <w:p>
            <w:pPr>
              <w:pStyle w:val="TableContents"/>
              <w:bidi w:val="0"/>
              <w:spacing w:before="0" w:after="0"/>
              <w:jc w:val="left"/>
              <w:rPr/>
            </w:pPr>
            <w:r>
              <w:rPr/>
              <w:t>Shell Li</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pPr>
            <w:r>
              <w:rPr/>
              <w:t>Title:</w:t>
            </w:r>
          </w:p>
        </w:tc>
        <w:tc>
          <w:tcPr>
            <w:tcW w:w="2285" w:type="dxa"/>
            <w:tcBorders/>
            <w:vAlign w:val="center"/>
          </w:tcPr>
          <w:p>
            <w:pPr>
              <w:pStyle w:val="TableContents"/>
              <w:bidi w:val="0"/>
              <w:spacing w:before="0" w:after="0"/>
              <w:jc w:val="left"/>
              <w:rPr/>
            </w:pPr>
            <w:r>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AGREED AND ACCEPTED</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foregoing accurately sets forth our understanding and agreement with respect to the matters set forth herein.</w:t>
      </w:r>
    </w:p>
    <w:p>
      <w:pPr>
        <w:pStyle w:val="TextBody"/>
        <w:bidi w:val="0"/>
        <w:spacing w:before="0" w:after="0"/>
        <w:jc w:val="left"/>
        <w:rPr/>
      </w:pPr>
      <w:r>
        <w:rPr/>
      </w:r>
      <w:bookmarkStart w:id="331" w:name="OLE_LINK475"/>
      <w:bookmarkStart w:id="332" w:name="OLE_LINK474"/>
      <w:bookmarkStart w:id="333" w:name="OLE_LINK475"/>
      <w:bookmarkStart w:id="334" w:name="OLE_LINK474"/>
      <w:bookmarkEnd w:id="333"/>
      <w:bookmarkEnd w:id="334"/>
    </w:p>
    <w:p>
      <w:pPr>
        <w:pStyle w:val="Normal"/>
        <w:bidi w:val="0"/>
        <w:spacing w:before="0" w:after="0"/>
        <w:jc w:val="left"/>
        <w:rPr>
          <w:sz w:val="4"/>
          <w:szCs w:val="4"/>
        </w:rPr>
      </w:pPr>
      <w:r>
        <w:rPr>
          <w:sz w:val="4"/>
          <w:szCs w:val="4"/>
        </w:rPr>
      </w:r>
      <w:bookmarkStart w:id="335" w:name="z14cff4cb3c3e484988848a31d088533a"/>
      <w:bookmarkStart w:id="336" w:name="z14cff4cb3c3e484988848a31d088533a"/>
      <w:bookmarkEnd w:id="336"/>
    </w:p>
    <w:tbl>
      <w:tblPr>
        <w:tblW w:w="2920" w:type="dxa"/>
        <w:jc w:val="left"/>
        <w:tblInd w:w="0" w:type="dxa"/>
        <w:tblLayout w:type="fixed"/>
        <w:tblCellMar>
          <w:top w:w="0" w:type="dxa"/>
          <w:left w:w="0" w:type="dxa"/>
          <w:bottom w:w="0" w:type="dxa"/>
          <w:right w:w="0" w:type="dxa"/>
        </w:tblCellMar>
      </w:tblPr>
      <w:tblGrid>
        <w:gridCol w:w="650"/>
        <w:gridCol w:w="2210"/>
        <w:gridCol w:w="60"/>
      </w:tblGrid>
      <w:tr>
        <w:trPr/>
        <w:tc>
          <w:tcPr>
            <w:tcW w:w="2860" w:type="dxa"/>
            <w:gridSpan w:val="2"/>
            <w:tcBorders/>
            <w:vAlign w:val="center"/>
          </w:tcPr>
          <w:p>
            <w:pPr>
              <w:pStyle w:val="TableContents"/>
              <w:bidi w:val="0"/>
              <w:spacing w:before="0" w:after="0"/>
              <w:jc w:val="left"/>
              <w:rPr>
                <w:b/>
              </w:rPr>
            </w:pPr>
            <w:bookmarkStart w:id="337" w:name="z_Hlk136523841"/>
            <w:bookmarkEnd w:id="337"/>
            <w:r>
              <w:rPr>
                <w:b/>
              </w:rPr>
              <w:t>Waton Financial Limited</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pPr>
            <w:bookmarkStart w:id="338" w:name="OLE_LINK22"/>
            <w:bookmarkStart w:id="339" w:name="OLE_LINK21"/>
            <w:bookmarkEnd w:id="338"/>
            <w:bookmarkEnd w:id="339"/>
            <w:r>
              <w:rPr/>
              <w:t>By:</w:t>
            </w:r>
          </w:p>
        </w:tc>
        <w:tc>
          <w:tcPr>
            <w:tcW w:w="2210" w:type="dxa"/>
            <w:tcBorders>
              <w:bottom w:val="single" w:sz="12" w:space="0" w:color="000000"/>
            </w:tcBorders>
            <w:tcMar>
              <w:bottom w:w="28" w:type="dxa"/>
            </w:tcMar>
            <w:vAlign w:val="center"/>
          </w:tcPr>
          <w:p>
            <w:pPr>
              <w:pStyle w:val="TableContents"/>
              <w:bidi w:val="0"/>
              <w:spacing w:before="0" w:after="0"/>
              <w:jc w:val="left"/>
              <w:rPr/>
            </w:pPr>
            <w:r>
              <w:rPr/>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pPr>
            <w:r>
              <w:rPr/>
              <w:t>Name:</w:t>
            </w:r>
          </w:p>
        </w:tc>
        <w:tc>
          <w:tcPr>
            <w:tcW w:w="2210" w:type="dxa"/>
            <w:tcBorders/>
            <w:vAlign w:val="center"/>
          </w:tcPr>
          <w:p>
            <w:pPr>
              <w:pStyle w:val="TableContents"/>
              <w:bidi w:val="0"/>
              <w:spacing w:before="0" w:after="0"/>
              <w:jc w:val="left"/>
              <w:rPr/>
            </w:pPr>
            <w:r>
              <w:rPr/>
              <w:t>Huaxin WEN</w:t>
            </w:r>
          </w:p>
        </w:tc>
        <w:tc>
          <w:tcPr>
            <w:tcW w:w="6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pPr>
            <w:r>
              <w:rPr/>
              <w:t>Title:</w:t>
            </w:r>
          </w:p>
        </w:tc>
        <w:tc>
          <w:tcPr>
            <w:tcW w:w="2210" w:type="dxa"/>
            <w:tcBorders/>
            <w:vAlign w:val="center"/>
          </w:tcPr>
          <w:p>
            <w:pPr>
              <w:pStyle w:val="TableContents"/>
              <w:bidi w:val="0"/>
              <w:spacing w:before="0" w:after="0"/>
              <w:jc w:val="left"/>
              <w:rPr/>
            </w:pPr>
            <w:bookmarkStart w:id="340" w:name="OLE_LINK62"/>
            <w:bookmarkStart w:id="341" w:name="z_Hlk148789278"/>
            <w:bookmarkEnd w:id="340"/>
            <w:bookmarkEnd w:id="341"/>
            <w:r>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A</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See Exhibit 21.1 to the Registration Statement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42" w:name="ny20075344x1_ex5-1.htm"/>
      <w:bookmarkStart w:id="343" w:name="ksny20075344x1_ex51"/>
      <w:bookmarkStart w:id="344" w:name="ny20075344x1_ex5-1.htm"/>
      <w:bookmarkStart w:id="345" w:name="ksny20075344x1_ex51"/>
      <w:bookmarkEnd w:id="344"/>
      <w:bookmarkEnd w:id="34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5.1</w:t>
      </w:r>
    </w:p>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6" w:name="z08a6252cb6dc4bfd949c76a728a0eb29"/>
      <w:bookmarkStart w:id="347" w:name="z08a6252cb6dc4bfd949c76a728a0eb29"/>
      <w:bookmarkEnd w:id="347"/>
    </w:p>
    <w:tbl>
      <w:tblPr>
        <w:tblW w:w="5580" w:type="dxa"/>
        <w:jc w:val="left"/>
        <w:tblInd w:w="0" w:type="dxa"/>
        <w:tblLayout w:type="fixed"/>
        <w:tblCellMar>
          <w:top w:w="0" w:type="dxa"/>
          <w:left w:w="0" w:type="dxa"/>
          <w:bottom w:w="0" w:type="dxa"/>
          <w:right w:w="0" w:type="dxa"/>
        </w:tblCellMar>
      </w:tblPr>
      <w:tblGrid>
        <w:gridCol w:w="845"/>
        <w:gridCol w:w="3545"/>
        <w:gridCol w:w="1190"/>
      </w:tblGrid>
      <w:tr>
        <w:trPr/>
        <w:tc>
          <w:tcPr>
            <w:tcW w:w="845" w:type="dxa"/>
            <w:tcBorders/>
            <w:vAlign w:val="center"/>
          </w:tcPr>
          <w:p>
            <w:pPr>
              <w:pStyle w:val="TableContents"/>
              <w:bidi w:val="0"/>
              <w:spacing w:before="0" w:after="0"/>
              <w:ind w:left="34" w:right="0" w:hanging="0"/>
              <w:jc w:val="left"/>
              <w:rPr/>
            </w:pPr>
            <w:r>
              <w:rPr/>
              <w:t>Your ref</w:t>
            </w:r>
          </w:p>
        </w:tc>
        <w:tc>
          <w:tcPr>
            <w:tcW w:w="3545" w:type="dxa"/>
            <w:tcBorders/>
            <w:vAlign w:val="center"/>
          </w:tcPr>
          <w:p>
            <w:pPr>
              <w:pStyle w:val="TableContents"/>
              <w:bidi w:val="0"/>
              <w:spacing w:before="0" w:after="0"/>
              <w:ind w:left="34" w:right="0" w:hanging="0"/>
              <w:jc w:val="left"/>
              <w:rPr/>
            </w:pPr>
            <w:r>
              <w:rPr/>
              <w:t>Waton Financial Limited</w:t>
            </w:r>
          </w:p>
        </w:tc>
        <w:tc>
          <w:tcPr>
            <w:tcW w:w="1190" w:type="dxa"/>
            <w:tcBorders/>
            <w:vAlign w:val="center"/>
          </w:tcPr>
          <w:p>
            <w:pPr>
              <w:pStyle w:val="TableContents"/>
              <w:bidi w:val="0"/>
              <w:spacing w:before="0" w:after="0"/>
              <w:jc w:val="left"/>
              <w:rPr/>
            </w:pPr>
            <w:r>
              <w:rPr/>
              <w:t>9 June 2026</w:t>
            </w:r>
          </w:p>
        </w:tc>
      </w:tr>
      <w:tr>
        <w:trPr/>
        <w:tc>
          <w:tcPr>
            <w:tcW w:w="845" w:type="dxa"/>
            <w:tcBorders/>
            <w:vAlign w:val="center"/>
          </w:tcPr>
          <w:p>
            <w:pPr>
              <w:pStyle w:val="TableContents"/>
              <w:bidi w:val="0"/>
              <w:spacing w:before="0" w:after="0"/>
              <w:ind w:left="34" w:right="0" w:hanging="0"/>
              <w:jc w:val="left"/>
              <w:rPr/>
            </w:pPr>
            <w:r>
              <w:rPr/>
              <w:t>Our ref</w:t>
            </w:r>
          </w:p>
        </w:tc>
        <w:tc>
          <w:tcPr>
            <w:tcW w:w="3545" w:type="dxa"/>
            <w:tcBorders/>
            <w:vAlign w:val="center"/>
          </w:tcPr>
          <w:p>
            <w:pPr>
              <w:pStyle w:val="TableContents"/>
              <w:bidi w:val="0"/>
              <w:spacing w:before="0" w:after="0"/>
              <w:ind w:left="34" w:right="0" w:hanging="0"/>
              <w:jc w:val="left"/>
              <w:rPr/>
            </w:pPr>
            <w:r>
              <w:rPr/>
              <w:t>AJM/MY/1083059/0002/S841890v4</w:t>
            </w:r>
          </w:p>
        </w:tc>
        <w:tc>
          <w:tcPr>
            <w:tcW w:w="1190" w:type="dxa"/>
            <w:tcBorders/>
            <w:vAlign w:val="center"/>
          </w:tcPr>
          <w:p>
            <w:pPr>
              <w:pStyle w:val="TableContents"/>
              <w:bidi w:val="0"/>
              <w:spacing w:before="0" w:after="283"/>
              <w:jc w:val="left"/>
              <w:rPr/>
            </w:pPr>
            <w:r>
              <w:rPr/>
              <w:t> </w:t>
            </w:r>
          </w:p>
        </w:tc>
      </w:tr>
      <w:tr>
        <w:trPr/>
        <w:tc>
          <w:tcPr>
            <w:tcW w:w="4390" w:type="dxa"/>
            <w:gridSpan w:val="2"/>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Waton Financial Limited</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 Services (BVI) Ltd.</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Rodus Building</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P.O. Box 3093</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Road Town, Tortola</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British Virgin Islands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Dear Sir / Madam</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Re: Waton Financial Limited (the "Company")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are lawyers licensed and qualified to practice law in the British Virgin Islands. We have acted as British Virgin Islands legal counsel to the Company. We have been asked to issue this legal opinion ("</w:t>
      </w:r>
      <w:r>
        <w:rPr>
          <w:rFonts w:ascii="Times New Roman;Times;serif" w:hAnsi="Times New Roman;Times;serif"/>
          <w:b/>
          <w:color w:val="000000"/>
          <w:sz w:val="20"/>
        </w:rPr>
        <w:t>Opinion</w:t>
      </w:r>
      <w:r>
        <w:rPr>
          <w:rFonts w:ascii="Times New Roman;Times;serif" w:hAnsi="Times New Roman;Times;serif"/>
          <w:color w:val="000000"/>
          <w:sz w:val="20"/>
        </w:rPr>
        <w:t>") to you with regard to the laws of the British Virgin Islands in relation to the offering of up to 5,359,719 ordinary shares of no par value per share in the capital of the Company (the "</w:t>
      </w:r>
      <w:r>
        <w:rPr>
          <w:rFonts w:ascii="Times New Roman;Times;serif" w:hAnsi="Times New Roman;Times;serif"/>
          <w:b/>
          <w:color w:val="000000"/>
          <w:sz w:val="20"/>
        </w:rPr>
        <w:t>Ordinary Shares</w:t>
      </w:r>
      <w:r>
        <w:rPr>
          <w:rFonts w:ascii="Times New Roman;Times;serif" w:hAnsi="Times New Roman;Times;serif"/>
          <w:color w:val="000000"/>
          <w:sz w:val="20"/>
        </w:rPr>
        <w:t>"), as registered under the United States Securities Act of 1933, as amended, (the "</w:t>
      </w:r>
      <w:r>
        <w:rPr>
          <w:rFonts w:ascii="Times New Roman;Times;serif" w:hAnsi="Times New Roman;Times;serif"/>
          <w:b/>
          <w:color w:val="000000"/>
          <w:sz w:val="20"/>
        </w:rPr>
        <w:t>Securities Act</w:t>
      </w:r>
      <w:r>
        <w:rPr>
          <w:rFonts w:ascii="Times New Roman;Times;serif" w:hAnsi="Times New Roman;Times;serif"/>
          <w:color w:val="000000"/>
          <w:sz w:val="20"/>
        </w:rPr>
        <w:t>"), pursuant to the registration statement, as amended, on Form F-1 (the "</w:t>
      </w:r>
      <w:r>
        <w:rPr>
          <w:rFonts w:ascii="Times New Roman;Times;serif" w:hAnsi="Times New Roman;Times;serif"/>
          <w:b/>
          <w:color w:val="000000"/>
          <w:sz w:val="20"/>
        </w:rPr>
        <w:t>Registration Statement</w:t>
      </w:r>
      <w:r>
        <w:rPr>
          <w:rFonts w:ascii="Times New Roman;Times;serif" w:hAnsi="Times New Roman;Times;serif"/>
          <w:color w:val="000000"/>
          <w:sz w:val="20"/>
        </w:rPr>
        <w:t>"), provided to us as filed by the Company with the United States Securities and Exchange Commission (the "</w:t>
      </w:r>
      <w:r>
        <w:rPr>
          <w:rFonts w:ascii="Times New Roman;Times;serif" w:hAnsi="Times New Roman;Times;serif"/>
          <w:b/>
          <w:color w:val="000000"/>
          <w:sz w:val="20"/>
        </w:rPr>
        <w:t>Commission</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Capitalised terms used in this Opinion shall have the meanings ascribed to them in this Opinion and/or the Schedules.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8" w:name="zd138b6ef20d3400594da1a6a9b36cf60"/>
      <w:bookmarkStart w:id="349" w:name="zd138b6ef20d3400594da1a6a9b36cf60"/>
      <w:bookmarkEnd w:id="349"/>
    </w:p>
    <w:tbl>
      <w:tblPr>
        <w:tblW w:w="2560" w:type="dxa"/>
        <w:jc w:val="left"/>
        <w:tblInd w:w="0" w:type="dxa"/>
        <w:tblLayout w:type="fixed"/>
        <w:tblCellMar>
          <w:top w:w="0" w:type="dxa"/>
          <w:left w:w="0" w:type="dxa"/>
          <w:bottom w:w="0" w:type="dxa"/>
          <w:right w:w="0" w:type="dxa"/>
        </w:tblCellMar>
      </w:tblPr>
      <w:tblGrid>
        <w:gridCol w:w="215"/>
        <w:gridCol w:w="2345"/>
      </w:tblGrid>
      <w:tr>
        <w:trPr/>
        <w:tc>
          <w:tcPr>
            <w:tcW w:w="215" w:type="dxa"/>
            <w:tcBorders/>
            <w:vAlign w:val="center"/>
          </w:tcPr>
          <w:p>
            <w:pPr>
              <w:pStyle w:val="TableContents"/>
              <w:bidi w:val="0"/>
              <w:spacing w:before="0" w:after="283"/>
              <w:jc w:val="left"/>
              <w:rPr>
                <w:b/>
                <w:color w:val="000000"/>
              </w:rPr>
            </w:pPr>
            <w:r>
              <w:rPr>
                <w:b/>
                <w:color w:val="000000"/>
              </w:rPr>
              <w:t>1.</w:t>
            </w:r>
          </w:p>
        </w:tc>
        <w:tc>
          <w:tcPr>
            <w:tcW w:w="2345" w:type="dxa"/>
            <w:tcBorders/>
            <w:vAlign w:val="center"/>
          </w:tcPr>
          <w:p>
            <w:pPr>
              <w:pStyle w:val="TableContents"/>
              <w:bidi w:val="0"/>
              <w:spacing w:before="0" w:after="0"/>
              <w:jc w:val="both"/>
              <w:rPr>
                <w:b/>
              </w:rPr>
            </w:pPr>
            <w:r>
              <w:rPr>
                <w:b/>
              </w:rPr>
              <w:t>SCOPE OF OPINION</w:t>
            </w:r>
          </w:p>
        </w:tc>
      </w:tr>
    </w:tbl>
    <w:p>
      <w:pPr>
        <w:pStyle w:val="TextBody"/>
        <w:bidi w:val="0"/>
        <w:spacing w:before="0" w:after="0"/>
        <w:jc w:val="both"/>
        <w:rPr/>
      </w:pPr>
      <w:r>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This Opinion is given only on the laws of the British Virgin Islands in force at the date hereof and is based solely on matters of fact known to us at the date hereof. We have not investigated the laws or regulations of any jurisdiction other than the British Virgin Islands (collectively, "</w:t>
      </w:r>
      <w:r>
        <w:rPr>
          <w:rFonts w:ascii="Times New Roman;Times;serif" w:hAnsi="Times New Roman;Times;serif"/>
          <w:b/>
          <w:color w:val="000000"/>
          <w:sz w:val="20"/>
        </w:rPr>
        <w:t>Foreign Laws</w:t>
      </w:r>
      <w:r>
        <w:rPr>
          <w:rFonts w:ascii="Times New Roman;Times;serif" w:hAnsi="Times New Roman;Times;serif"/>
          <w:color w:val="000000"/>
          <w:sz w:val="20"/>
        </w:rPr>
        <w:t>"). We express no opinion as to matters of fact or, unless expressly stated otherwise, the veracity of any representations or warranties given in or in connection the documents set out in Schedule 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0" w:name="z6e2f7ae97ebb4d108d365240695c4d5f"/>
      <w:bookmarkStart w:id="351" w:name="z6e2f7ae97ebb4d108d365240695c4d5f"/>
      <w:bookmarkEnd w:id="351"/>
    </w:p>
    <w:tbl>
      <w:tblPr>
        <w:tblW w:w="6100" w:type="dxa"/>
        <w:jc w:val="left"/>
        <w:tblInd w:w="0" w:type="dxa"/>
        <w:tblLayout w:type="fixed"/>
        <w:tblCellMar>
          <w:top w:w="0" w:type="dxa"/>
          <w:left w:w="0" w:type="dxa"/>
          <w:bottom w:w="0" w:type="dxa"/>
          <w:right w:w="0" w:type="dxa"/>
        </w:tblCellMar>
      </w:tblPr>
      <w:tblGrid>
        <w:gridCol w:w="215"/>
        <w:gridCol w:w="5885"/>
      </w:tblGrid>
      <w:tr>
        <w:trPr/>
        <w:tc>
          <w:tcPr>
            <w:tcW w:w="215" w:type="dxa"/>
            <w:tcBorders/>
            <w:vAlign w:val="center"/>
          </w:tcPr>
          <w:p>
            <w:pPr>
              <w:pStyle w:val="TableContents"/>
              <w:bidi w:val="0"/>
              <w:spacing w:before="0" w:after="283"/>
              <w:jc w:val="left"/>
              <w:rPr>
                <w:b/>
                <w:color w:val="000000"/>
              </w:rPr>
            </w:pPr>
            <w:r>
              <w:rPr>
                <w:b/>
                <w:color w:val="000000"/>
              </w:rPr>
              <w:t>2.</w:t>
            </w:r>
          </w:p>
        </w:tc>
        <w:tc>
          <w:tcPr>
            <w:tcW w:w="5885" w:type="dxa"/>
            <w:tcBorders/>
            <w:vAlign w:val="center"/>
          </w:tcPr>
          <w:p>
            <w:pPr>
              <w:pStyle w:val="TableContents"/>
              <w:bidi w:val="0"/>
              <w:spacing w:before="0" w:after="0"/>
              <w:jc w:val="both"/>
              <w:rPr>
                <w:b/>
              </w:rPr>
            </w:pPr>
            <w:r>
              <w:rPr>
                <w:b/>
              </w:rPr>
              <w:t>DOCUMENTS REVIEWED AND ENQUIRIES MADE</w:t>
            </w:r>
          </w:p>
        </w:tc>
      </w:tr>
    </w:tbl>
    <w:p>
      <w:pPr>
        <w:pStyle w:val="TextBody"/>
        <w:bidi w:val="0"/>
        <w:spacing w:before="0" w:after="0"/>
        <w:jc w:val="both"/>
        <w:rPr/>
      </w:pPr>
      <w:r>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In giving this Opinion we have undertaken the Searches and reviewed the documents set out in Schedule 1.</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2" w:name="z3d25fcedbcef4ab282e5666eaee358c1"/>
      <w:bookmarkStart w:id="353" w:name="z3d25fcedbcef4ab282e5666eaee358c1"/>
      <w:bookmarkEnd w:id="353"/>
    </w:p>
    <w:tbl>
      <w:tblPr>
        <w:tblW w:w="4810" w:type="dxa"/>
        <w:jc w:val="left"/>
        <w:tblInd w:w="0" w:type="dxa"/>
        <w:tblLayout w:type="fixed"/>
        <w:tblCellMar>
          <w:top w:w="0" w:type="dxa"/>
          <w:left w:w="0" w:type="dxa"/>
          <w:bottom w:w="0" w:type="dxa"/>
          <w:right w:w="0" w:type="dxa"/>
        </w:tblCellMar>
      </w:tblPr>
      <w:tblGrid>
        <w:gridCol w:w="215"/>
        <w:gridCol w:w="4595"/>
      </w:tblGrid>
      <w:tr>
        <w:trPr/>
        <w:tc>
          <w:tcPr>
            <w:tcW w:w="215" w:type="dxa"/>
            <w:tcBorders/>
            <w:vAlign w:val="center"/>
          </w:tcPr>
          <w:p>
            <w:pPr>
              <w:pStyle w:val="TableContents"/>
              <w:bidi w:val="0"/>
              <w:spacing w:before="0" w:after="283"/>
              <w:jc w:val="left"/>
              <w:rPr>
                <w:b/>
                <w:color w:val="000000"/>
              </w:rPr>
            </w:pPr>
            <w:r>
              <w:rPr>
                <w:b/>
                <w:color w:val="000000"/>
              </w:rPr>
              <w:t>3.</w:t>
            </w:r>
          </w:p>
        </w:tc>
        <w:tc>
          <w:tcPr>
            <w:tcW w:w="4595" w:type="dxa"/>
            <w:tcBorders/>
            <w:vAlign w:val="center"/>
          </w:tcPr>
          <w:p>
            <w:pPr>
              <w:pStyle w:val="TableContents"/>
              <w:bidi w:val="0"/>
              <w:spacing w:before="0" w:after="0"/>
              <w:jc w:val="both"/>
              <w:rPr>
                <w:b/>
              </w:rPr>
            </w:pPr>
            <w:r>
              <w:rPr>
                <w:b/>
              </w:rPr>
              <w:t>ASSUMPTIONS AND QUALIFICATIONS</w:t>
            </w:r>
          </w:p>
        </w:tc>
      </w:tr>
    </w:tbl>
    <w:p>
      <w:pPr>
        <w:pStyle w:val="TextBody"/>
        <w:bidi w:val="0"/>
        <w:spacing w:before="0" w:after="0"/>
        <w:jc w:val="both"/>
        <w:rPr/>
      </w:pPr>
      <w:r>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This Opinion is given on the basis that the assumptions set out in Schedule 2 (which we have not independently investigated or verified) are true, complete and accurate in all respects. In addition, this Opinion is subject to the qualifications set out in Schedule 3.</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4" w:name="z2487d1894af34d11b3705392a1419680"/>
      <w:bookmarkStart w:id="355" w:name="z2487d1894af34d11b3705392a1419680"/>
      <w:bookmarkEnd w:id="355"/>
    </w:p>
    <w:tbl>
      <w:tblPr>
        <w:tblW w:w="1435" w:type="dxa"/>
        <w:jc w:val="left"/>
        <w:tblInd w:w="0" w:type="dxa"/>
        <w:tblLayout w:type="fixed"/>
        <w:tblCellMar>
          <w:top w:w="0" w:type="dxa"/>
          <w:left w:w="0" w:type="dxa"/>
          <w:bottom w:w="0" w:type="dxa"/>
          <w:right w:w="0" w:type="dxa"/>
        </w:tblCellMar>
      </w:tblPr>
      <w:tblGrid>
        <w:gridCol w:w="215"/>
        <w:gridCol w:w="1220"/>
      </w:tblGrid>
      <w:tr>
        <w:trPr/>
        <w:tc>
          <w:tcPr>
            <w:tcW w:w="215" w:type="dxa"/>
            <w:tcBorders/>
            <w:vAlign w:val="center"/>
          </w:tcPr>
          <w:p>
            <w:pPr>
              <w:pStyle w:val="TableContents"/>
              <w:bidi w:val="0"/>
              <w:spacing w:before="0" w:after="283"/>
              <w:jc w:val="left"/>
              <w:rPr>
                <w:b/>
                <w:color w:val="000000"/>
              </w:rPr>
            </w:pPr>
            <w:r>
              <w:rPr>
                <w:b/>
                <w:color w:val="000000"/>
              </w:rPr>
              <w:t>4.</w:t>
            </w:r>
          </w:p>
        </w:tc>
        <w:tc>
          <w:tcPr>
            <w:tcW w:w="1220" w:type="dxa"/>
            <w:tcBorders/>
            <w:vAlign w:val="center"/>
          </w:tcPr>
          <w:p>
            <w:pPr>
              <w:pStyle w:val="TableContents"/>
              <w:bidi w:val="0"/>
              <w:spacing w:before="0" w:after="0"/>
              <w:jc w:val="both"/>
              <w:rPr>
                <w:b/>
              </w:rPr>
            </w:pPr>
            <w:r>
              <w:rPr>
                <w:b/>
              </w:rPr>
              <w:t>OPINIONS</w:t>
            </w:r>
          </w:p>
        </w:tc>
      </w:tr>
    </w:tbl>
    <w:p>
      <w:pPr>
        <w:pStyle w:val="TextBody"/>
        <w:bidi w:val="0"/>
        <w:spacing w:before="0" w:after="0"/>
        <w:jc w:val="both"/>
        <w:rPr/>
      </w:pPr>
      <w:r>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Having regard to such legal considerations as we deem relevant, we are of the opinion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6" w:name="zef034f01f28745978d4cacf718b9a0c3"/>
      <w:bookmarkStart w:id="357" w:name="zef034f01f28745978d4cacf718b9a0c3"/>
      <w:bookmarkEnd w:id="357"/>
    </w:p>
    <w:tbl>
      <w:tblPr>
        <w:tblW w:w="4360" w:type="dxa"/>
        <w:jc w:val="left"/>
        <w:tblInd w:w="0" w:type="dxa"/>
        <w:tblLayout w:type="fixed"/>
        <w:tblCellMar>
          <w:top w:w="0" w:type="dxa"/>
          <w:left w:w="0" w:type="dxa"/>
          <w:bottom w:w="0" w:type="dxa"/>
          <w:right w:w="0" w:type="dxa"/>
        </w:tblCellMar>
      </w:tblPr>
      <w:tblGrid>
        <w:gridCol w:w="335"/>
        <w:gridCol w:w="4025"/>
      </w:tblGrid>
      <w:tr>
        <w:trPr/>
        <w:tc>
          <w:tcPr>
            <w:tcW w:w="335" w:type="dxa"/>
            <w:tcBorders/>
            <w:vAlign w:val="center"/>
          </w:tcPr>
          <w:p>
            <w:pPr>
              <w:pStyle w:val="TableContents"/>
              <w:bidi w:val="0"/>
              <w:spacing w:before="0" w:after="283"/>
              <w:jc w:val="left"/>
              <w:rPr/>
            </w:pPr>
            <w:r>
              <w:rPr/>
              <w:t>4.1</w:t>
            </w:r>
          </w:p>
        </w:tc>
        <w:tc>
          <w:tcPr>
            <w:tcW w:w="4025" w:type="dxa"/>
            <w:tcBorders/>
            <w:vAlign w:val="center"/>
          </w:tcPr>
          <w:p>
            <w:pPr>
              <w:pStyle w:val="TableContents"/>
              <w:bidi w:val="0"/>
              <w:spacing w:before="0" w:after="0"/>
              <w:jc w:val="both"/>
              <w:rPr>
                <w:b/>
              </w:rPr>
            </w:pPr>
            <w:r>
              <w:rPr>
                <w:b/>
              </w:rPr>
              <w:t>Due incorporation, existence and status</w:t>
            </w:r>
          </w:p>
        </w:tc>
      </w:tr>
    </w:tbl>
    <w:p>
      <w:pPr>
        <w:pStyle w:val="TextBody"/>
        <w:bidi w:val="0"/>
        <w:spacing w:before="0" w:after="0"/>
        <w:jc w:val="left"/>
        <w:rPr/>
      </w:pPr>
      <w:r>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The Company has been duly incorporated as a BVI business company under the BVI Business Companies Act (the "</w:t>
      </w:r>
      <w:r>
        <w:rPr>
          <w:rFonts w:ascii="Times New Roman;Times;serif" w:hAnsi="Times New Roman;Times;serif"/>
          <w:b/>
          <w:color w:val="000000"/>
          <w:sz w:val="20"/>
        </w:rPr>
        <w:t>Act</w:t>
      </w:r>
      <w:r>
        <w:rPr>
          <w:rFonts w:ascii="Times New Roman;Times;serif" w:hAnsi="Times New Roman;Times;serif"/>
          <w:color w:val="000000"/>
          <w:sz w:val="20"/>
        </w:rPr>
        <w:t>"). Based solely on the information disclosed to us by the Registrar of Corporate Affairs in the British Virgin Islands (the "</w:t>
      </w:r>
      <w:r>
        <w:rPr>
          <w:rFonts w:ascii="Times New Roman;Times;serif" w:hAnsi="Times New Roman;Times;serif"/>
          <w:b/>
          <w:color w:val="000000"/>
          <w:sz w:val="20"/>
        </w:rPr>
        <w:t>Registrar</w:t>
      </w:r>
      <w:r>
        <w:rPr>
          <w:rFonts w:ascii="Times New Roman;Times;serif" w:hAnsi="Times New Roman;Times;serif"/>
          <w:color w:val="000000"/>
          <w:sz w:val="20"/>
        </w:rPr>
        <w:t>") in the Certificate of Good Standing, the Company is in good standing.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8" w:name="z2c66ef9b5de044d8938a762f201344d9"/>
      <w:bookmarkStart w:id="359" w:name="z2c66ef9b5de044d8938a762f201344d9"/>
      <w:bookmarkEnd w:id="359"/>
    </w:p>
    <w:tbl>
      <w:tblPr>
        <w:tblW w:w="3415" w:type="dxa"/>
        <w:jc w:val="left"/>
        <w:tblInd w:w="0" w:type="dxa"/>
        <w:tblLayout w:type="fixed"/>
        <w:tblCellMar>
          <w:top w:w="0" w:type="dxa"/>
          <w:left w:w="0" w:type="dxa"/>
          <w:bottom w:w="0" w:type="dxa"/>
          <w:right w:w="0" w:type="dxa"/>
        </w:tblCellMar>
      </w:tblPr>
      <w:tblGrid>
        <w:gridCol w:w="335"/>
        <w:gridCol w:w="3080"/>
      </w:tblGrid>
      <w:tr>
        <w:trPr/>
        <w:tc>
          <w:tcPr>
            <w:tcW w:w="335" w:type="dxa"/>
            <w:tcBorders/>
            <w:vAlign w:val="center"/>
          </w:tcPr>
          <w:p>
            <w:pPr>
              <w:pStyle w:val="TableContents"/>
              <w:bidi w:val="0"/>
              <w:spacing w:before="0" w:after="283"/>
              <w:jc w:val="left"/>
              <w:rPr/>
            </w:pPr>
            <w:r>
              <w:rPr/>
              <w:t>4.2</w:t>
            </w:r>
          </w:p>
        </w:tc>
        <w:tc>
          <w:tcPr>
            <w:tcW w:w="3080" w:type="dxa"/>
            <w:tcBorders/>
            <w:vAlign w:val="center"/>
          </w:tcPr>
          <w:p>
            <w:pPr>
              <w:pStyle w:val="TableContents"/>
              <w:bidi w:val="0"/>
              <w:spacing w:before="0" w:after="0"/>
              <w:jc w:val="both"/>
              <w:rPr>
                <w:b/>
              </w:rPr>
            </w:pPr>
            <w:r>
              <w:rPr>
                <w:b/>
              </w:rPr>
              <w:t>Authorised and Issued Shares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0" w:name="z0447a6c27739451ea5710d36036b02f4"/>
      <w:bookmarkStart w:id="361" w:name="z0447a6c27739451ea5710d36036b02f4"/>
      <w:bookmarkEnd w:id="361"/>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pPr>
            <w:r>
              <w:rPr/>
            </w:r>
          </w:p>
        </w:tc>
        <w:tc>
          <w:tcPr>
            <w:tcW w:w="273" w:type="dxa"/>
            <w:tcBorders/>
            <w:vAlign w:val="center"/>
          </w:tcPr>
          <w:p>
            <w:pPr>
              <w:pStyle w:val="TableContents"/>
              <w:bidi w:val="0"/>
              <w:spacing w:before="0" w:after="283"/>
              <w:jc w:val="left"/>
              <w:rPr>
                <w:color w:val="000000"/>
              </w:rPr>
            </w:pPr>
            <w:r>
              <w:rPr>
                <w:color w:val="000000"/>
              </w:rPr>
              <w:t>(a)</w:t>
            </w:r>
          </w:p>
        </w:tc>
        <w:tc>
          <w:tcPr>
            <w:tcW w:w="9894" w:type="dxa"/>
            <w:tcBorders/>
            <w:vAlign w:val="center"/>
          </w:tcPr>
          <w:p>
            <w:pPr>
              <w:pStyle w:val="TableContents"/>
              <w:bidi w:val="0"/>
              <w:spacing w:before="0" w:after="0"/>
              <w:jc w:val="both"/>
              <w:rPr/>
            </w:pPr>
            <w:r>
              <w:rPr/>
              <w:t>The Company is authorised to issue an unlimited number of shares of a single class each with no par value.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2" w:name="z67ca22fcd13a4ef4bd70b18e2ef3b979"/>
      <w:bookmarkStart w:id="363" w:name="z67ca22fcd13a4ef4bd70b18e2ef3b979"/>
      <w:bookmarkEnd w:id="363"/>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pPr>
            <w:r>
              <w:rPr/>
            </w:r>
          </w:p>
        </w:tc>
        <w:tc>
          <w:tcPr>
            <w:tcW w:w="231" w:type="dxa"/>
            <w:tcBorders/>
            <w:vAlign w:val="center"/>
          </w:tcPr>
          <w:p>
            <w:pPr>
              <w:pStyle w:val="TableContents"/>
              <w:bidi w:val="0"/>
              <w:spacing w:before="0" w:after="283"/>
              <w:jc w:val="left"/>
              <w:rPr>
                <w:color w:val="000000"/>
              </w:rPr>
            </w:pPr>
            <w:r>
              <w:rPr>
                <w:color w:val="000000"/>
              </w:rPr>
              <w:t>(b)</w:t>
            </w:r>
          </w:p>
        </w:tc>
        <w:tc>
          <w:tcPr>
            <w:tcW w:w="9936" w:type="dxa"/>
            <w:tcBorders/>
            <w:vAlign w:val="center"/>
          </w:tcPr>
          <w:p>
            <w:pPr>
              <w:pStyle w:val="TableContents"/>
              <w:bidi w:val="0"/>
              <w:spacing w:before="0" w:after="0"/>
              <w:jc w:val="both"/>
              <w:rPr/>
            </w:pPr>
            <w:r>
              <w:rPr/>
              <w:t>The Ordinary Shares to be offered in accordance with the Registration Statement, when issued in accordance with the Company’s memorandum and articles of association, and pursuant to the Registration Statement and the relevant Issuance Documents (as defined below), will be duly authorised, validly issued, fully paid and non-assessable to the persons set out in the register of members of the Company as the holders thereof.</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4" w:name="z8d3d363bc5ed43b5ae983a7e0f16a5cc"/>
      <w:bookmarkStart w:id="365" w:name="z8d3d363bc5ed43b5ae983a7e0f16a5cc"/>
      <w:bookmarkEnd w:id="365"/>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color w:val="000000"/>
              </w:rPr>
            </w:pPr>
            <w:r>
              <w:rPr>
                <w:color w:val="000000"/>
              </w:rPr>
              <w:t>(c)</w:t>
            </w:r>
          </w:p>
        </w:tc>
        <w:tc>
          <w:tcPr>
            <w:tcW w:w="9900" w:type="dxa"/>
            <w:tcBorders/>
            <w:vAlign w:val="center"/>
          </w:tcPr>
          <w:p>
            <w:pPr>
              <w:pStyle w:val="TableContents"/>
              <w:bidi w:val="0"/>
              <w:spacing w:before="0" w:after="0"/>
              <w:jc w:val="both"/>
              <w:rPr/>
            </w:pPr>
            <w:r>
              <w:rPr/>
              <w:t>As a matter of British Virgin Islands law, a share is only issued when it has been entered in the register of members.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6" w:name="z81e8925ed6a84e269bc02596969b3e58"/>
      <w:bookmarkStart w:id="367" w:name="z81e8925ed6a84e269bc02596969b3e58"/>
      <w:bookmarkEnd w:id="367"/>
    </w:p>
    <w:tbl>
      <w:tblPr>
        <w:tblW w:w="1555" w:type="dxa"/>
        <w:jc w:val="left"/>
        <w:tblInd w:w="0" w:type="dxa"/>
        <w:tblLayout w:type="fixed"/>
        <w:tblCellMar>
          <w:top w:w="0" w:type="dxa"/>
          <w:left w:w="0" w:type="dxa"/>
          <w:bottom w:w="0" w:type="dxa"/>
          <w:right w:w="0" w:type="dxa"/>
        </w:tblCellMar>
      </w:tblPr>
      <w:tblGrid>
        <w:gridCol w:w="215"/>
        <w:gridCol w:w="1340"/>
      </w:tblGrid>
      <w:tr>
        <w:trPr/>
        <w:tc>
          <w:tcPr>
            <w:tcW w:w="215" w:type="dxa"/>
            <w:tcBorders/>
            <w:vAlign w:val="center"/>
          </w:tcPr>
          <w:p>
            <w:pPr>
              <w:pStyle w:val="TableContents"/>
              <w:bidi w:val="0"/>
              <w:spacing w:before="0" w:after="283"/>
              <w:jc w:val="left"/>
              <w:rPr>
                <w:b/>
                <w:color w:val="000000"/>
              </w:rPr>
            </w:pPr>
            <w:r>
              <w:rPr>
                <w:b/>
                <w:color w:val="000000"/>
              </w:rPr>
              <w:t>5.</w:t>
            </w:r>
          </w:p>
        </w:tc>
        <w:tc>
          <w:tcPr>
            <w:tcW w:w="1340" w:type="dxa"/>
            <w:tcBorders/>
            <w:vAlign w:val="center"/>
          </w:tcPr>
          <w:p>
            <w:pPr>
              <w:pStyle w:val="TableContents"/>
              <w:bidi w:val="0"/>
              <w:spacing w:before="0" w:after="0"/>
              <w:jc w:val="both"/>
              <w:rPr>
                <w:b/>
              </w:rPr>
            </w:pPr>
            <w:r>
              <w:rPr>
                <w:b/>
              </w:rPr>
              <w:t>RELIANCE</w:t>
            </w:r>
          </w:p>
        </w:tc>
      </w:tr>
    </w:tbl>
    <w:p>
      <w:pPr>
        <w:pStyle w:val="TextBody"/>
        <w:bidi w:val="0"/>
        <w:spacing w:before="0" w:after="0"/>
        <w:jc w:val="both"/>
        <w:rPr/>
      </w:pPr>
      <w:r>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Except as specifically referred to in this Opinion, we have not examined, and give no opinion on, any contracts, instruments or other documents (whether or not referred to in, or contemplated by, the documents set out Schedule 1). We do not give any opinion on the commercial merits of any transaction contemplated or entered into under or pursuant to the documents set out in Schedule 1.</w:t>
      </w:r>
    </w:p>
    <w:p>
      <w:pPr>
        <w:pStyle w:val="TextBody"/>
        <w:bidi w:val="0"/>
        <w:spacing w:before="0" w:after="0"/>
        <w:jc w:val="left"/>
        <w:rPr/>
      </w:pPr>
      <w:r>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This Opinion (and any obligations arising out of or in connection with it) is given on the basis that it shall be governed by and construed in accordance with the current law and practice in the British Virgin Islands. By relying on the opinions set out in this Opinion the addressee(s) hereby irrevocably agree(s) that the courts of the British Virgin Islands are to have exclusive jurisdiction to settle any disputes which may arise in connection with this Opinion.</w:t>
      </w:r>
    </w:p>
    <w:p>
      <w:pPr>
        <w:pStyle w:val="TextBody"/>
        <w:bidi w:val="0"/>
        <w:spacing w:before="0" w:after="0"/>
        <w:jc w:val="left"/>
        <w:rPr/>
      </w:pPr>
      <w:r>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We assume no responsibility to advise any person entitled to rely on this Opinion, or to undertake any investigations, as to any change in British Virgin Islands law (or its application) or factual matters arising after the date of this Opinion, which might affect the opinions set out herein.</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This Opinion is issued solely for the purposes of the filing of the Registration Statement and the offering of the Ordinary Shares by the Company and not in respect of or in connection with any other matter.</w:t>
      </w:r>
    </w:p>
    <w:p>
      <w:pPr>
        <w:pStyle w:val="TextBody"/>
        <w:bidi w:val="0"/>
        <w:spacing w:before="0" w:after="0"/>
        <w:jc w:val="left"/>
        <w:rPr/>
      </w:pPr>
      <w:r>
        <w:rPr/>
      </w:r>
    </w:p>
    <w:p>
      <w:pPr>
        <w:pStyle w:val="TextBody"/>
        <w:bidi w:val="0"/>
        <w:spacing w:before="0" w:after="0"/>
        <w:ind w:left="720" w:right="0" w:hanging="0"/>
        <w:jc w:val="both"/>
        <w:rPr>
          <w:rFonts w:ascii="Times New Roman;Times;serif" w:hAnsi="Times New Roman;Times;serif"/>
          <w:color w:val="000000"/>
          <w:sz w:val="20"/>
        </w:rPr>
      </w:pPr>
      <w:r>
        <w:rPr>
          <w:rFonts w:ascii="Times New Roman;Times;serif" w:hAnsi="Times New Roman;Times;serif"/>
          <w:color w:val="000000"/>
          <w:sz w:val="20"/>
        </w:rPr>
        <w:t>We are furnishing this Opinion as exhibit 5.1 and 23.2 to the Registration Statement. We hereby consent to the filing of this opinion as an exhibit to the Registration Statement and to the use of our name therein. In giving this consent, we do not hereby admit that we are experts within the meaning of Section 11 of the Securities Act or that we are within the category of persons whose consent is required under Section 7 of the Securities Act or the rules and regulations of the Commission promulgated thereunder.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Yours faithfully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110" w:type="dxa"/>
        <w:jc w:val="left"/>
        <w:tblInd w:w="0" w:type="dxa"/>
        <w:tblLayout w:type="fixed"/>
        <w:tblCellMar>
          <w:top w:w="0" w:type="dxa"/>
          <w:left w:w="0" w:type="dxa"/>
          <w:bottom w:w="28" w:type="dxa"/>
          <w:right w:w="0" w:type="dxa"/>
        </w:tblCellMar>
      </w:tblPr>
      <w:tblGrid>
        <w:gridCol w:w="3050"/>
        <w:gridCol w:w="60"/>
      </w:tblGrid>
      <w:tr>
        <w:trPr/>
        <w:tc>
          <w:tcPr>
            <w:tcW w:w="3050" w:type="dxa"/>
            <w:tcBorders>
              <w:bottom w:val="single" w:sz="12" w:space="0" w:color="000000"/>
            </w:tcBorders>
            <w:vAlign w:val="center"/>
          </w:tcPr>
          <w:p>
            <w:pPr>
              <w:pStyle w:val="TableContents"/>
              <w:bidi w:val="0"/>
              <w:spacing w:before="0" w:after="283"/>
              <w:jc w:val="left"/>
              <w:rPr/>
            </w:pPr>
            <w:r>
              <w:rPr/>
              <w:t xml:space="preserve">/s/ Carey Olsen Singapore LLP </w:t>
            </w:r>
          </w:p>
        </w:tc>
        <w:tc>
          <w:tcPr>
            <w:tcW w:w="60" w:type="dxa"/>
            <w:tcBorders/>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0"/>
              <w:jc w:val="both"/>
              <w:rPr>
                <w:b/>
              </w:rPr>
            </w:pPr>
            <w:r>
              <w:rPr>
                <w:b/>
              </w:rPr>
              <w:t>Carey Olsen Singapore LLP</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b/>
        </w:rPr>
      </w:pPr>
      <w:r>
        <w:rPr>
          <w:b/>
        </w:rPr>
      </w:r>
    </w:p>
    <w:p>
      <w:pPr>
        <w:pStyle w:val="TextBody"/>
        <w:bidi w:val="0"/>
        <w:spacing w:before="0" w:after="0"/>
        <w:jc w:val="both"/>
        <w:rPr>
          <w:b/>
        </w:rPr>
      </w:pPr>
      <w:r>
        <w:rPr>
          <w:b/>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SCHEDULE 1</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DOCUMENTS REVIEWED AND ENQUIRIES MADE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 the purpose of this Opinion, we have reviewed originals, copies, drafts or conformed copies of the following document: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8" w:name="zd58d67e327a448cd8f93e9e9cc297b5e"/>
      <w:bookmarkStart w:id="369" w:name="zd58d67e327a448cd8f93e9e9cc297b5e"/>
      <w:bookmarkEnd w:id="369"/>
    </w:p>
    <w:tbl>
      <w:tblPr>
        <w:tblW w:w="1900" w:type="dxa"/>
        <w:jc w:val="left"/>
        <w:tblInd w:w="0" w:type="dxa"/>
        <w:tblLayout w:type="fixed"/>
        <w:tblCellMar>
          <w:top w:w="0" w:type="dxa"/>
          <w:left w:w="0" w:type="dxa"/>
          <w:bottom w:w="0" w:type="dxa"/>
          <w:right w:w="0" w:type="dxa"/>
        </w:tblCellMar>
      </w:tblPr>
      <w:tblGrid>
        <w:gridCol w:w="275"/>
        <w:gridCol w:w="1625"/>
      </w:tblGrid>
      <w:tr>
        <w:trPr/>
        <w:tc>
          <w:tcPr>
            <w:tcW w:w="275" w:type="dxa"/>
            <w:tcBorders/>
            <w:vAlign w:val="center"/>
          </w:tcPr>
          <w:p>
            <w:pPr>
              <w:pStyle w:val="TableContents"/>
              <w:bidi w:val="0"/>
              <w:spacing w:before="0" w:after="283"/>
              <w:jc w:val="left"/>
              <w:rPr>
                <w:b/>
              </w:rPr>
            </w:pPr>
            <w:r>
              <w:rPr>
                <w:b/>
              </w:rPr>
              <w:t>A.</w:t>
            </w:r>
          </w:p>
        </w:tc>
        <w:tc>
          <w:tcPr>
            <w:tcW w:w="1625" w:type="dxa"/>
            <w:tcBorders/>
            <w:vAlign w:val="center"/>
          </w:tcPr>
          <w:p>
            <w:pPr>
              <w:pStyle w:val="TableContents"/>
              <w:bidi w:val="0"/>
              <w:spacing w:before="0" w:after="0"/>
              <w:jc w:val="left"/>
              <w:rPr>
                <w:b/>
              </w:rPr>
            </w:pPr>
            <w:r>
              <w:rPr>
                <w:b/>
              </w:rPr>
              <w:t>DOCUMENTS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70" w:name="z519d9a916e0c4cd4a5c243593f61f87c"/>
      <w:bookmarkStart w:id="371" w:name="z519d9a916e0c4cd4a5c243593f61f87c"/>
      <w:bookmarkEnd w:id="371"/>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0"/>
              <w:jc w:val="both"/>
              <w:rPr/>
            </w:pPr>
            <w:r>
              <w:rPr/>
              <w:t>A copy of the Registration Statement (which term does not include any other document or agreement whether or not specifically referred to therein or attached as an exhibit or schedule thereto).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72" w:name="z72fc90fe4f3442398fcffa24cf6c2c90"/>
      <w:bookmarkStart w:id="373" w:name="z72fc90fe4f3442398fcffa24cf6c2c90"/>
      <w:bookmarkEnd w:id="373"/>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2.</w:t>
            </w:r>
          </w:p>
        </w:tc>
        <w:tc>
          <w:tcPr>
            <w:tcW w:w="10024" w:type="dxa"/>
            <w:tcBorders/>
            <w:vAlign w:val="center"/>
          </w:tcPr>
          <w:p>
            <w:pPr>
              <w:pStyle w:val="TableContents"/>
              <w:bidi w:val="0"/>
              <w:spacing w:before="0" w:after="0"/>
              <w:jc w:val="both"/>
              <w:rPr/>
            </w:pPr>
            <w:r>
              <w:rPr/>
              <w:t>The Company’s certificate of incorporation, issued by the Registrar and obtained from our Company Search and the Company’s change of name certificate, issued by the Registrar and obtained from our Company Search.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74" w:name="zedeac8ee8544441d90743aa7a5adf95d"/>
      <w:bookmarkStart w:id="375" w:name="zedeac8ee8544441d90743aa7a5adf95d"/>
      <w:bookmarkEnd w:id="375"/>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3.</w:t>
            </w:r>
          </w:p>
        </w:tc>
        <w:tc>
          <w:tcPr>
            <w:tcW w:w="10020" w:type="dxa"/>
            <w:tcBorders/>
            <w:vAlign w:val="center"/>
          </w:tcPr>
          <w:p>
            <w:pPr>
              <w:pStyle w:val="TableContents"/>
              <w:bidi w:val="0"/>
              <w:spacing w:before="0" w:after="0"/>
              <w:jc w:val="both"/>
              <w:rPr/>
            </w:pPr>
            <w:r>
              <w:rPr/>
              <w:t>The Company’s memorandum and articles of association (as amended from time to time), filed with the Registrar and obtained from our Company Search</w:t>
            </w:r>
            <w:r>
              <w:rPr>
                <w:color w:val="C00000"/>
              </w:rPr>
              <w:t> </w:t>
            </w:r>
            <w:r>
              <w:rPr/>
              <w:t>(the "</w:t>
            </w:r>
            <w:r>
              <w:rPr>
                <w:b/>
              </w:rPr>
              <w:t>Memorandum and</w:t>
            </w:r>
            <w:r>
              <w:rPr/>
              <w:t> </w:t>
            </w:r>
            <w:r>
              <w:rPr>
                <w:b/>
              </w:rPr>
              <w:t>Articles</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76" w:name="za121875def904a22ba6fd4494d6f2975"/>
      <w:bookmarkStart w:id="377" w:name="za121875def904a22ba6fd4494d6f2975"/>
      <w:bookmarkEnd w:id="377"/>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pPr>
            <w:r>
              <w:rPr/>
              <w:t>4.</w:t>
            </w:r>
          </w:p>
        </w:tc>
        <w:tc>
          <w:tcPr>
            <w:tcW w:w="10006" w:type="dxa"/>
            <w:tcBorders/>
            <w:vAlign w:val="center"/>
          </w:tcPr>
          <w:p>
            <w:pPr>
              <w:pStyle w:val="TableContents"/>
              <w:bidi w:val="0"/>
              <w:spacing w:before="0" w:after="0"/>
              <w:jc w:val="both"/>
              <w:rPr/>
            </w:pPr>
            <w:r>
              <w:rPr/>
              <w:t>A certificate of good standing relating to the Company issued by the Registrar, dated 4 June 2026 (the "</w:t>
            </w:r>
            <w:r>
              <w:rPr>
                <w:b/>
              </w:rPr>
              <w:t>Certificate of Good Standing</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78" w:name="z0cafd9f33e6b423886f87701d0da89ae"/>
      <w:bookmarkStart w:id="379" w:name="z0cafd9f33e6b423886f87701d0da89ae"/>
      <w:bookmarkEnd w:id="379"/>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5.</w:t>
            </w:r>
          </w:p>
        </w:tc>
        <w:tc>
          <w:tcPr>
            <w:tcW w:w="9999" w:type="dxa"/>
            <w:tcBorders/>
            <w:vAlign w:val="center"/>
          </w:tcPr>
          <w:p>
            <w:pPr>
              <w:pStyle w:val="TableContents"/>
              <w:bidi w:val="0"/>
              <w:spacing w:before="0" w:after="0"/>
              <w:jc w:val="both"/>
              <w:rPr/>
            </w:pPr>
            <w:r>
              <w:rPr/>
              <w:t>The signed written resolutions of the directors of the Company (the "</w:t>
            </w:r>
            <w:r>
              <w:rPr>
                <w:b/>
              </w:rPr>
              <w:t>Directors</w:t>
            </w:r>
            <w:r>
              <w:rPr/>
              <w:t>") dated 8 June 2026 (the "</w:t>
            </w:r>
            <w:r>
              <w:rPr>
                <w:b/>
              </w:rPr>
              <w:t>Resolutions</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0" w:name="z2c4998b977294f9fa06ef21adbd98338"/>
      <w:bookmarkStart w:id="381" w:name="z2c4998b977294f9fa06ef21adbd98338"/>
      <w:bookmarkEnd w:id="381"/>
    </w:p>
    <w:tbl>
      <w:tblPr>
        <w:tblW w:w="9175" w:type="dxa"/>
        <w:jc w:val="left"/>
        <w:tblInd w:w="0" w:type="dxa"/>
        <w:tblLayout w:type="fixed"/>
        <w:tblCellMar>
          <w:top w:w="0" w:type="dxa"/>
          <w:left w:w="0" w:type="dxa"/>
          <w:bottom w:w="0" w:type="dxa"/>
          <w:right w:w="0" w:type="dxa"/>
        </w:tblCellMar>
      </w:tblPr>
      <w:tblGrid>
        <w:gridCol w:w="215"/>
        <w:gridCol w:w="8960"/>
      </w:tblGrid>
      <w:tr>
        <w:trPr/>
        <w:tc>
          <w:tcPr>
            <w:tcW w:w="215" w:type="dxa"/>
            <w:tcBorders/>
            <w:vAlign w:val="center"/>
          </w:tcPr>
          <w:p>
            <w:pPr>
              <w:pStyle w:val="TableContents"/>
              <w:bidi w:val="0"/>
              <w:spacing w:before="0" w:after="283"/>
              <w:jc w:val="left"/>
              <w:rPr/>
            </w:pPr>
            <w:r>
              <w:rPr/>
              <w:t>6.</w:t>
            </w:r>
          </w:p>
        </w:tc>
        <w:tc>
          <w:tcPr>
            <w:tcW w:w="8960" w:type="dxa"/>
            <w:tcBorders/>
            <w:vAlign w:val="center"/>
          </w:tcPr>
          <w:p>
            <w:pPr>
              <w:pStyle w:val="TableContents"/>
              <w:bidi w:val="0"/>
              <w:spacing w:before="0" w:after="0"/>
              <w:jc w:val="both"/>
              <w:rPr/>
            </w:pPr>
            <w:r>
              <w:rPr/>
              <w:t>The Register of Directors of the Company maintained by the registered agent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2" w:name="zb6d6b241c70d42f0bab52f909151b9b9"/>
      <w:bookmarkStart w:id="383" w:name="zb6d6b241c70d42f0bab52f909151b9b9"/>
      <w:bookmarkEnd w:id="383"/>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pPr>
            <w:r>
              <w:rPr/>
              <w:t>7.</w:t>
            </w:r>
          </w:p>
        </w:tc>
        <w:tc>
          <w:tcPr>
            <w:tcW w:w="10013" w:type="dxa"/>
            <w:tcBorders/>
            <w:vAlign w:val="center"/>
          </w:tcPr>
          <w:p>
            <w:pPr>
              <w:pStyle w:val="TableContents"/>
              <w:bidi w:val="0"/>
              <w:spacing w:before="0" w:after="0"/>
              <w:jc w:val="both"/>
              <w:rPr/>
            </w:pPr>
            <w:r>
              <w:rPr/>
              <w:t>A draft placement agency agreement to be entered by and between Cathay Securities Inc., Inc. as the placement agent (the "</w:t>
            </w:r>
            <w:r>
              <w:rPr>
                <w:b/>
              </w:rPr>
              <w:t>Placement Agent</w:t>
            </w:r>
            <w:r>
              <w:rPr/>
              <w:t>") and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4" w:name="z216c789508034e51808ab0b565666538"/>
      <w:bookmarkStart w:id="385" w:name="z216c789508034e51808ab0b565666538"/>
      <w:bookmarkEnd w:id="385"/>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pPr>
            <w:r>
              <w:rPr/>
              <w:t>8.</w:t>
            </w:r>
          </w:p>
        </w:tc>
        <w:tc>
          <w:tcPr>
            <w:tcW w:w="10018" w:type="dxa"/>
            <w:tcBorders/>
            <w:vAlign w:val="center"/>
          </w:tcPr>
          <w:p>
            <w:pPr>
              <w:pStyle w:val="TableContents"/>
              <w:bidi w:val="0"/>
              <w:spacing w:before="0" w:after="0"/>
              <w:jc w:val="both"/>
              <w:rPr/>
            </w:pPr>
            <w:r>
              <w:rPr/>
              <w:t>A form of securities purchase agreement related to the issuance and sale of a certain number of Ordinary Shares as stipulated therein between the Company and certain purchasers thereto.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6" w:name="ze15f183e3c9f4ac8bda9fb06166fb0bb"/>
      <w:bookmarkStart w:id="387" w:name="ze15f183e3c9f4ac8bda9fb06166fb0bb"/>
      <w:bookmarkEnd w:id="387"/>
    </w:p>
    <w:tbl>
      <w:tblPr>
        <w:tblW w:w="3640" w:type="dxa"/>
        <w:jc w:val="left"/>
        <w:tblInd w:w="0" w:type="dxa"/>
        <w:tblLayout w:type="fixed"/>
        <w:tblCellMar>
          <w:top w:w="0" w:type="dxa"/>
          <w:left w:w="0" w:type="dxa"/>
          <w:bottom w:w="0" w:type="dxa"/>
          <w:right w:w="0" w:type="dxa"/>
        </w:tblCellMar>
      </w:tblPr>
      <w:tblGrid>
        <w:gridCol w:w="260"/>
        <w:gridCol w:w="3380"/>
      </w:tblGrid>
      <w:tr>
        <w:trPr/>
        <w:tc>
          <w:tcPr>
            <w:tcW w:w="260" w:type="dxa"/>
            <w:tcBorders/>
            <w:vAlign w:val="center"/>
          </w:tcPr>
          <w:p>
            <w:pPr>
              <w:pStyle w:val="TableContents"/>
              <w:bidi w:val="0"/>
              <w:spacing w:before="0" w:after="283"/>
              <w:jc w:val="left"/>
              <w:rPr>
                <w:b/>
              </w:rPr>
            </w:pPr>
            <w:r>
              <w:rPr>
                <w:b/>
              </w:rPr>
              <w:t>B.</w:t>
            </w:r>
          </w:p>
        </w:tc>
        <w:tc>
          <w:tcPr>
            <w:tcW w:w="3380" w:type="dxa"/>
            <w:tcBorders/>
            <w:vAlign w:val="center"/>
          </w:tcPr>
          <w:p>
            <w:pPr>
              <w:pStyle w:val="TableContents"/>
              <w:bidi w:val="0"/>
              <w:spacing w:before="0" w:after="0"/>
              <w:jc w:val="left"/>
              <w:rPr>
                <w:b/>
              </w:rPr>
            </w:pPr>
            <w:r>
              <w:rPr>
                <w:b/>
              </w:rPr>
              <w:t>SEARCHES AND ENQUIRIES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8" w:name="z39291d80a0ec40d2843fc90b56929bbb"/>
      <w:bookmarkStart w:id="389" w:name="z39291d80a0ec40d2843fc90b56929bbb"/>
      <w:bookmarkEnd w:id="389"/>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1.</w:t>
            </w:r>
          </w:p>
        </w:tc>
        <w:tc>
          <w:tcPr>
            <w:tcW w:w="10035" w:type="dxa"/>
            <w:tcBorders/>
            <w:vAlign w:val="center"/>
          </w:tcPr>
          <w:p>
            <w:pPr>
              <w:pStyle w:val="TableContents"/>
              <w:bidi w:val="0"/>
              <w:spacing w:before="0" w:after="0"/>
              <w:jc w:val="both"/>
              <w:rPr/>
            </w:pPr>
            <w:r>
              <w:rPr/>
              <w:t>The information revealed by our search of the Company's public records on file and available for public inspection from the Registrar at the time of our search on  9 June 2026 (the "</w:t>
            </w:r>
            <w:r>
              <w:rPr>
                <w:b/>
              </w:rPr>
              <w:t>Company Search</w:t>
            </w:r>
            <w:r>
              <w:rPr/>
              <w:t>"), including all relevant forms and charges (if any) created by the Company and filed with the Registrar pursuant to section 163 of the BVI Business Companies Act (the "</w:t>
            </w:r>
            <w:r>
              <w:rPr>
                <w:b/>
              </w:rPr>
              <w:t>Act</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0" w:name="z0669effd54264203bbb4667b0cab12b4"/>
      <w:bookmarkStart w:id="391" w:name="z0669effd54264203bbb4667b0cab12b4"/>
      <w:bookmarkEnd w:id="391"/>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2.</w:t>
            </w:r>
          </w:p>
        </w:tc>
        <w:tc>
          <w:tcPr>
            <w:tcW w:w="10039" w:type="dxa"/>
            <w:tcBorders/>
            <w:vAlign w:val="center"/>
          </w:tcPr>
          <w:p>
            <w:pPr>
              <w:pStyle w:val="TableContents"/>
              <w:bidi w:val="0"/>
              <w:spacing w:before="0" w:after="0"/>
              <w:jc w:val="both"/>
              <w:rPr/>
            </w:pPr>
            <w:r>
              <w:rPr/>
              <w:t>The public information revealed by our search of the Company on the electronic records of the Civil Division and the Commercial Division of the Registry of the High Court and the Court of Appeal (Virgin Islands) Register, each from 1 January 2000, as maintained on the Judicial Enforcement Management System by the Registry of the High Court of the Virgin Islands, conducted on  9 June 2026 (the "</w:t>
            </w:r>
            <w:r>
              <w:rPr>
                <w:b/>
              </w:rPr>
              <w:t>High Court Search</w:t>
            </w:r>
            <w:r>
              <w:rPr/>
              <w:t>" and together with the Company Search, the "</w:t>
            </w:r>
            <w:r>
              <w:rPr>
                <w:b/>
              </w:rPr>
              <w:t>Searches</w:t>
            </w: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2" w:name="ze3d8eb16b88b440490a7cc0133b12c9e"/>
      <w:bookmarkStart w:id="393" w:name="ze3d8eb16b88b440490a7cc0133b12c9e"/>
      <w:bookmarkEnd w:id="393"/>
    </w:p>
    <w:tbl>
      <w:tblPr>
        <w:tblW w:w="1120" w:type="dxa"/>
        <w:jc w:val="left"/>
        <w:tblInd w:w="0" w:type="dxa"/>
        <w:tblLayout w:type="fixed"/>
        <w:tblCellMar>
          <w:top w:w="0" w:type="dxa"/>
          <w:left w:w="0" w:type="dxa"/>
          <w:bottom w:w="0" w:type="dxa"/>
          <w:right w:w="0" w:type="dxa"/>
        </w:tblCellMar>
      </w:tblPr>
      <w:tblGrid>
        <w:gridCol w:w="275"/>
        <w:gridCol w:w="845"/>
      </w:tblGrid>
      <w:tr>
        <w:trPr/>
        <w:tc>
          <w:tcPr>
            <w:tcW w:w="275" w:type="dxa"/>
            <w:tcBorders/>
            <w:vAlign w:val="center"/>
          </w:tcPr>
          <w:p>
            <w:pPr>
              <w:pStyle w:val="TableContents"/>
              <w:bidi w:val="0"/>
              <w:spacing w:before="0" w:after="283"/>
              <w:jc w:val="left"/>
              <w:rPr>
                <w:b/>
              </w:rPr>
            </w:pPr>
            <w:r>
              <w:rPr>
                <w:b/>
              </w:rPr>
              <w:t>C.</w:t>
            </w:r>
          </w:p>
        </w:tc>
        <w:tc>
          <w:tcPr>
            <w:tcW w:w="845" w:type="dxa"/>
            <w:tcBorders/>
            <w:vAlign w:val="center"/>
          </w:tcPr>
          <w:p>
            <w:pPr>
              <w:pStyle w:val="TableContents"/>
              <w:bidi w:val="0"/>
              <w:spacing w:before="0" w:after="0"/>
              <w:jc w:val="left"/>
              <w:rPr>
                <w:b/>
              </w:rPr>
            </w:pPr>
            <w:r>
              <w:rPr>
                <w:b/>
              </w:rPr>
              <w:t>SCOPE</w:t>
            </w:r>
          </w:p>
        </w:tc>
      </w:tr>
    </w:tbl>
    <w:p>
      <w:pPr>
        <w:pStyle w:val="TextBody"/>
        <w:bidi w:val="0"/>
        <w:spacing w:before="0" w:after="0"/>
        <w:jc w:val="left"/>
        <w:rPr/>
      </w:pPr>
      <w:r>
        <w:rPr/>
      </w:r>
    </w:p>
    <w:p>
      <w:pPr>
        <w:pStyle w:val="TextBody"/>
        <w:bidi w:val="0"/>
        <w:spacing w:before="0" w:after="0"/>
        <w:ind w:left="709" w:right="0" w:hanging="0"/>
        <w:jc w:val="both"/>
        <w:rPr>
          <w:rFonts w:ascii="Times New Roman;Times;serif" w:hAnsi="Times New Roman;Times;serif"/>
          <w:color w:val="000000"/>
          <w:sz w:val="20"/>
        </w:rPr>
      </w:pPr>
      <w:r>
        <w:rPr>
          <w:rFonts w:ascii="Times New Roman;Times;serif" w:hAnsi="Times New Roman;Times;serif"/>
          <w:color w:val="000000"/>
          <w:sz w:val="20"/>
        </w:rPr>
        <w:t>The documents listed in this Schedule are the only documents and/or records we have examined and the only searches and enquiries we have carried out for the purposes of this Opinion.</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SCHEDULE 2</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ASSUMPTIONS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94" w:name="zbcd17c750a5f4e5ebb734c410b59b17c"/>
      <w:bookmarkStart w:id="395" w:name="zbcd17c750a5f4e5ebb734c410b59b17c"/>
      <w:bookmarkEnd w:id="395"/>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pPr>
            <w:r>
              <w:rPr/>
              <w:t>1.</w:t>
            </w:r>
          </w:p>
        </w:tc>
        <w:tc>
          <w:tcPr>
            <w:tcW w:w="9997" w:type="dxa"/>
            <w:tcBorders/>
            <w:vAlign w:val="center"/>
          </w:tcPr>
          <w:p>
            <w:pPr>
              <w:pStyle w:val="TableContents"/>
              <w:bidi w:val="0"/>
              <w:spacing w:before="0" w:after="0"/>
              <w:jc w:val="both"/>
              <w:rPr/>
            </w:pPr>
            <w:r>
              <w:rPr/>
              <w:t>The conformity to the original documents of all copy documents supplied to us (whether in hard or soft copy format).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6" w:name="z96ebd5d16f804756933b6d7ef2f180b4"/>
      <w:bookmarkStart w:id="397" w:name="z96ebd5d16f804756933b6d7ef2f180b4"/>
      <w:bookmarkEnd w:id="397"/>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0"/>
              <w:jc w:val="both"/>
              <w:rPr/>
            </w:pPr>
            <w:r>
              <w:rPr/>
              <w:t>The authenticity, accuracy and completeness of all documents supplied to us, whether as originals or copies and of all factual representations expressed in or implied by the documents we have examined.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8" w:name="ze71367adc9fb47b0898fc7400dc844d8"/>
      <w:bookmarkStart w:id="399" w:name="ze71367adc9fb47b0898fc7400dc844d8"/>
      <w:bookmarkEnd w:id="399"/>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pPr>
            <w:r>
              <w:rPr/>
              <w:t>3.</w:t>
            </w:r>
          </w:p>
        </w:tc>
        <w:tc>
          <w:tcPr>
            <w:tcW w:w="10018" w:type="dxa"/>
            <w:tcBorders/>
            <w:vAlign w:val="center"/>
          </w:tcPr>
          <w:p>
            <w:pPr>
              <w:pStyle w:val="TableContents"/>
              <w:bidi w:val="0"/>
              <w:spacing w:before="0" w:after="0"/>
              <w:jc w:val="both"/>
              <w:rPr/>
            </w:pPr>
            <w:r>
              <w:rPr/>
              <w:t>The genuineness of all signatures, stamps, initials, seals, dates and markings on documents submitted to us. The signatures, initials and seals on all documents supplied to us are genuine.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0" w:name="z1af3aeb7138d4849b99e9ff3d2074e27"/>
      <w:bookmarkStart w:id="401" w:name="z1af3aeb7138d4849b99e9ff3d2074e27"/>
      <w:bookmarkEnd w:id="401"/>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0"/>
              <w:jc w:val="both"/>
              <w:rPr/>
            </w:pPr>
            <w:r>
              <w:rPr/>
              <w:t>There is no document or other information or matter that has not been provided or disclosed to us, which could affect the accuracy of this Opinion.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2" w:name="z942af0ab232240aab67d169136e022c2"/>
      <w:bookmarkStart w:id="403" w:name="z942af0ab232240aab67d169136e022c2"/>
      <w:bookmarkEnd w:id="403"/>
    </w:p>
    <w:tbl>
      <w:tblPr>
        <w:tblW w:w="5380" w:type="dxa"/>
        <w:jc w:val="left"/>
        <w:tblInd w:w="0" w:type="dxa"/>
        <w:tblLayout w:type="fixed"/>
        <w:tblCellMar>
          <w:top w:w="0" w:type="dxa"/>
          <w:left w:w="0" w:type="dxa"/>
          <w:bottom w:w="0" w:type="dxa"/>
          <w:right w:w="0" w:type="dxa"/>
        </w:tblCellMar>
      </w:tblPr>
      <w:tblGrid>
        <w:gridCol w:w="215"/>
        <w:gridCol w:w="5165"/>
      </w:tblGrid>
      <w:tr>
        <w:trPr/>
        <w:tc>
          <w:tcPr>
            <w:tcW w:w="215" w:type="dxa"/>
            <w:tcBorders/>
            <w:vAlign w:val="center"/>
          </w:tcPr>
          <w:p>
            <w:pPr>
              <w:pStyle w:val="TableContents"/>
              <w:bidi w:val="0"/>
              <w:spacing w:before="0" w:after="283"/>
              <w:jc w:val="left"/>
              <w:rPr/>
            </w:pPr>
            <w:r>
              <w:rPr/>
              <w:t>5.</w:t>
            </w:r>
          </w:p>
        </w:tc>
        <w:tc>
          <w:tcPr>
            <w:tcW w:w="5165" w:type="dxa"/>
            <w:tcBorders/>
            <w:vAlign w:val="center"/>
          </w:tcPr>
          <w:p>
            <w:pPr>
              <w:pStyle w:val="TableContents"/>
              <w:bidi w:val="0"/>
              <w:spacing w:before="0" w:after="0"/>
              <w:jc w:val="both"/>
              <w:rPr/>
            </w:pPr>
            <w:r>
              <w:rPr/>
              <w:t>No foreign legislation qualifies or affects this Opinion.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4" w:name="zb1395311d57c42f69150a0032296efea"/>
      <w:bookmarkStart w:id="405" w:name="zb1395311d57c42f69150a0032296efea"/>
      <w:bookmarkEnd w:id="405"/>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pPr>
            <w:r>
              <w:rPr/>
              <w:t>6.</w:t>
            </w:r>
          </w:p>
        </w:tc>
        <w:tc>
          <w:tcPr>
            <w:tcW w:w="10025" w:type="dxa"/>
            <w:tcBorders/>
            <w:vAlign w:val="center"/>
          </w:tcPr>
          <w:p>
            <w:pPr>
              <w:pStyle w:val="TableContents"/>
              <w:bidi w:val="0"/>
              <w:spacing w:before="0" w:after="0"/>
              <w:jc w:val="both"/>
              <w:rPr/>
            </w:pPr>
            <w:r>
              <w:rPr/>
              <w:t>Words and phrases used in any documents that we have reviewed that are not governed by British Virgin Islands law have the same meanings and effect as they would have if those documents were governed by British Virgin Islands law.</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6" w:name="z8f4b1f031be349a7a2b6a2caf024f040"/>
      <w:bookmarkStart w:id="407" w:name="z8f4b1f031be349a7a2b6a2caf024f040"/>
      <w:bookmarkEnd w:id="407"/>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pPr>
            <w:r>
              <w:rPr/>
              <w:t>7.</w:t>
            </w:r>
          </w:p>
        </w:tc>
        <w:tc>
          <w:tcPr>
            <w:tcW w:w="10018" w:type="dxa"/>
            <w:tcBorders/>
            <w:vAlign w:val="center"/>
          </w:tcPr>
          <w:p>
            <w:pPr>
              <w:pStyle w:val="TableContents"/>
              <w:bidi w:val="0"/>
              <w:spacing w:before="0" w:after="0"/>
              <w:jc w:val="both"/>
              <w:rPr/>
            </w:pPr>
            <w:r>
              <w:rPr/>
              <w:t>The company records are complete and accurate and all matters required by law and the Memorandum and Articles to be recorded therein are completely and accurately so recorded.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8" w:name="zb656bfc6b170474eb6bd7473d0e77b48"/>
      <w:bookmarkStart w:id="409" w:name="zb656bfc6b170474eb6bd7473d0e77b48"/>
      <w:bookmarkEnd w:id="409"/>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pPr>
            <w:r>
              <w:rPr/>
              <w:t>8.</w:t>
            </w:r>
          </w:p>
        </w:tc>
        <w:tc>
          <w:tcPr>
            <w:tcW w:w="10030" w:type="dxa"/>
            <w:tcBorders/>
            <w:vAlign w:val="center"/>
          </w:tcPr>
          <w:p>
            <w:pPr>
              <w:pStyle w:val="TableContents"/>
              <w:bidi w:val="0"/>
              <w:spacing w:before="0" w:after="0"/>
              <w:jc w:val="both"/>
              <w:rPr/>
            </w:pPr>
            <w:r>
              <w:rPr/>
              <w:t>The Resolutions have been validly passed and approved and that they (and the resolutions, matters and transactions approved or otherwise contemplated therein) have not been subsequently revoked, altered or otherwise affected and remain in full force and effect as of the date hereof.</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10" w:name="z0edbdc6461584013bea30173f1b7604e"/>
      <w:bookmarkStart w:id="411" w:name="z0edbdc6461584013bea30173f1b7604e"/>
      <w:bookmarkEnd w:id="411"/>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pPr>
            <w:r>
              <w:rPr/>
              <w:t>9.</w:t>
            </w:r>
          </w:p>
        </w:tc>
        <w:tc>
          <w:tcPr>
            <w:tcW w:w="10010" w:type="dxa"/>
            <w:tcBorders/>
            <w:vAlign w:val="center"/>
          </w:tcPr>
          <w:p>
            <w:pPr>
              <w:pStyle w:val="TableContents"/>
              <w:bidi w:val="0"/>
              <w:spacing w:before="0" w:after="0"/>
              <w:jc w:val="both"/>
              <w:rPr/>
            </w:pPr>
            <w:r>
              <w:rPr/>
              <w:t>The power and authority of the Company and the Directors have not been restricted in any way other than as set out in the Memorandum and Articles.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12" w:name="zc172876c4d3043768b47cbdfe53140ce"/>
      <w:bookmarkStart w:id="413" w:name="zc172876c4d3043768b47cbdfe53140ce"/>
      <w:bookmarkEnd w:id="413"/>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10.</w:t>
            </w:r>
          </w:p>
        </w:tc>
        <w:tc>
          <w:tcPr>
            <w:tcW w:w="9909" w:type="dxa"/>
            <w:tcBorders/>
            <w:vAlign w:val="center"/>
          </w:tcPr>
          <w:p>
            <w:pPr>
              <w:pStyle w:val="TableContents"/>
              <w:bidi w:val="0"/>
              <w:spacing w:before="0" w:after="0"/>
              <w:jc w:val="both"/>
              <w:rPr/>
            </w:pPr>
            <w:r>
              <w:rPr/>
              <w:t>The applicable definitive purchase, underwriting, warrant, place agency, award or similar agreements or certificates in respect of such issuance (the "</w:t>
            </w:r>
            <w:r>
              <w:rPr>
                <w:b/>
              </w:rPr>
              <w:t>Issuance Documents</w:t>
            </w:r>
            <w:r>
              <w:rPr/>
              <w:t>") will be duly executed and delivered by or on behalf of the Company and all other parties thereto.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14" w:name="z2c76bb1e0ad941608451da2c0cdbc8f5"/>
      <w:bookmarkStart w:id="415" w:name="z2c76bb1e0ad941608451da2c0cdbc8f5"/>
      <w:bookmarkEnd w:id="415"/>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11.</w:t>
            </w:r>
          </w:p>
        </w:tc>
        <w:tc>
          <w:tcPr>
            <w:tcW w:w="9916" w:type="dxa"/>
            <w:tcBorders/>
            <w:vAlign w:val="center"/>
          </w:tcPr>
          <w:p>
            <w:pPr>
              <w:pStyle w:val="TableContents"/>
              <w:bidi w:val="0"/>
              <w:spacing w:before="0" w:after="0"/>
              <w:jc w:val="both"/>
              <w:rPr/>
            </w:pPr>
            <w:r>
              <w:rPr/>
              <w:t>The full power (including both capacity and authority), legal right and good standing of each of the parties to the Issuance Documents (other than the Company under the laws of the British Virgin Islands) to execute, date, unconditionally deliver and perform their obligations under, and their due authorisation, execution, dating and unconditional delivery of, the Issuance Documents.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16" w:name="z58e58003a9774973ae660f2ca222ea3c"/>
      <w:bookmarkStart w:id="417" w:name="z58e58003a9774973ae660f2ca222ea3c"/>
      <w:bookmarkEnd w:id="417"/>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12.</w:t>
            </w:r>
          </w:p>
        </w:tc>
        <w:tc>
          <w:tcPr>
            <w:tcW w:w="9916" w:type="dxa"/>
            <w:tcBorders/>
            <w:vAlign w:val="center"/>
          </w:tcPr>
          <w:p>
            <w:pPr>
              <w:pStyle w:val="TableContents"/>
              <w:bidi w:val="0"/>
              <w:spacing w:before="0" w:after="0"/>
              <w:jc w:val="both"/>
              <w:rPr/>
            </w:pPr>
            <w:r>
              <w:rPr/>
              <w:t>There is no contractual or other obligation, prohibition or restriction (other than arising by operation of the laws of the British Virgin Islands or as set out in the Memorandum and Articles) which may limit the Company's ability to issue the Ordinary Shares or prohibit it from entering into and performing its obligations under the Registration Statement or the Issuance Documents.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18" w:name="zfe8074610fa142c985e202b12fcb7634"/>
      <w:bookmarkStart w:id="419" w:name="zfe8074610fa142c985e202b12fcb7634"/>
      <w:bookmarkEnd w:id="419"/>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13.</w:t>
            </w:r>
          </w:p>
        </w:tc>
        <w:tc>
          <w:tcPr>
            <w:tcW w:w="9912" w:type="dxa"/>
            <w:tcBorders/>
            <w:vAlign w:val="center"/>
          </w:tcPr>
          <w:p>
            <w:pPr>
              <w:pStyle w:val="TableContents"/>
              <w:bidi w:val="0"/>
              <w:spacing w:before="0" w:after="0"/>
              <w:jc w:val="both"/>
              <w:rPr/>
            </w:pPr>
            <w:r>
              <w:rPr/>
              <w:t>The applicable Issuance Documents relating to any Ordinary Shares to be offered and sold will constitute legal, valid and binding obligations, enforceable in accordance with their terms of each of the parties in accordance with all applicable law (other than the Company as a matter of the British Virgin Islands);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0" w:name="z31740ce4f6b94a48828949cbff2cf24a"/>
      <w:bookmarkStart w:id="421" w:name="z31740ce4f6b94a48828949cbff2cf24a"/>
      <w:bookmarkEnd w:id="421"/>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pPr>
            <w:r>
              <w:rPr/>
              <w:t>14.</w:t>
            </w:r>
          </w:p>
        </w:tc>
        <w:tc>
          <w:tcPr>
            <w:tcW w:w="9892" w:type="dxa"/>
            <w:tcBorders/>
            <w:vAlign w:val="center"/>
          </w:tcPr>
          <w:p>
            <w:pPr>
              <w:pStyle w:val="TableContents"/>
              <w:bidi w:val="0"/>
              <w:spacing w:before="0" w:after="0"/>
              <w:jc w:val="both"/>
              <w:rPr/>
            </w:pPr>
            <w:r>
              <w:rPr/>
              <w:t>The issuance and sale of and payment for the Ordinary Shares will be in accordance with the applicable Issuance Documents and the Registration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2" w:name="z2c67d254d90f4d4cbdf4dd03a1fed576"/>
      <w:bookmarkStart w:id="423" w:name="z2c67d254d90f4d4cbdf4dd03a1fed576"/>
      <w:bookmarkEnd w:id="423"/>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pPr>
            <w:r>
              <w:rPr/>
              <w:t>15.</w:t>
            </w:r>
          </w:p>
        </w:tc>
        <w:tc>
          <w:tcPr>
            <w:tcW w:w="9898" w:type="dxa"/>
            <w:tcBorders/>
            <w:vAlign w:val="center"/>
          </w:tcPr>
          <w:p>
            <w:pPr>
              <w:pStyle w:val="TableContents"/>
              <w:bidi w:val="0"/>
              <w:spacing w:before="0" w:after="0"/>
              <w:jc w:val="both"/>
              <w:rPr/>
            </w:pPr>
            <w:r>
              <w:rPr/>
              <w:t>The Company is to pay its debts as they fall due and the Company's assets exceeds its liabilities and no steps have been taken to wind up, strike off or dissolve the Company (or similar).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4" w:name="z297aeef431334159957b57f0904145dd"/>
      <w:bookmarkStart w:id="425" w:name="z297aeef431334159957b57f0904145dd"/>
      <w:bookmarkEnd w:id="425"/>
    </w:p>
    <w:tbl>
      <w:tblPr>
        <w:tblW w:w="9280" w:type="dxa"/>
        <w:jc w:val="left"/>
        <w:tblInd w:w="0" w:type="dxa"/>
        <w:tblLayout w:type="fixed"/>
        <w:tblCellMar>
          <w:top w:w="0" w:type="dxa"/>
          <w:left w:w="0" w:type="dxa"/>
          <w:bottom w:w="0" w:type="dxa"/>
          <w:right w:w="0" w:type="dxa"/>
        </w:tblCellMar>
      </w:tblPr>
      <w:tblGrid>
        <w:gridCol w:w="335"/>
        <w:gridCol w:w="8945"/>
      </w:tblGrid>
      <w:tr>
        <w:trPr/>
        <w:tc>
          <w:tcPr>
            <w:tcW w:w="335" w:type="dxa"/>
            <w:tcBorders/>
            <w:vAlign w:val="center"/>
          </w:tcPr>
          <w:p>
            <w:pPr>
              <w:pStyle w:val="TableContents"/>
              <w:bidi w:val="0"/>
              <w:spacing w:before="0" w:after="283"/>
              <w:jc w:val="left"/>
              <w:rPr/>
            </w:pPr>
            <w:r>
              <w:rPr/>
              <w:t>16.</w:t>
            </w:r>
          </w:p>
        </w:tc>
        <w:tc>
          <w:tcPr>
            <w:tcW w:w="8945" w:type="dxa"/>
            <w:tcBorders/>
            <w:vAlign w:val="center"/>
          </w:tcPr>
          <w:p>
            <w:pPr>
              <w:pStyle w:val="TableContents"/>
              <w:bidi w:val="0"/>
              <w:spacing w:before="0" w:after="0"/>
              <w:jc w:val="both"/>
              <w:rPr/>
            </w:pPr>
            <w:r>
              <w:rPr/>
              <w:t>The consideration payable will be received by the Company in respect of the Ordinary Shares.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SCHEDULE 3</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QUALIFICATIONS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6" w:name="zf9bd7474d1194795a437400d1736e78e"/>
      <w:bookmarkStart w:id="427" w:name="zf9bd7474d1194795a437400d1736e78e"/>
      <w:bookmarkEnd w:id="427"/>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1.</w:t>
            </w:r>
          </w:p>
        </w:tc>
        <w:tc>
          <w:tcPr>
            <w:tcW w:w="10032" w:type="dxa"/>
            <w:tcBorders/>
            <w:vAlign w:val="center"/>
          </w:tcPr>
          <w:p>
            <w:pPr>
              <w:pStyle w:val="TableContents"/>
              <w:bidi w:val="0"/>
              <w:spacing w:before="0" w:after="0"/>
              <w:jc w:val="both"/>
              <w:rPr/>
            </w:pPr>
            <w:r>
              <w:rPr/>
              <w:t>To maintain the Company in good standing under the laws of the British Virgin Islands, the Company must inter alias pay annual filing fees to the Registrar, comply with its economic substance requirements and obligations, file an annual financial return and file a copy of its register of directors with the Registrar.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8" w:name="z5837d51e0b6e4a7faf7f995f1a4e52fc"/>
      <w:bookmarkStart w:id="429" w:name="z5837d51e0b6e4a7faf7f995f1a4e52fc"/>
      <w:bookmarkEnd w:id="429"/>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pPr>
            <w:r>
              <w:rPr/>
              <w:t>2.</w:t>
            </w:r>
          </w:p>
        </w:tc>
        <w:tc>
          <w:tcPr>
            <w:tcW w:w="10036" w:type="dxa"/>
            <w:tcBorders/>
            <w:vAlign w:val="center"/>
          </w:tcPr>
          <w:p>
            <w:pPr>
              <w:pStyle w:val="TableContents"/>
              <w:bidi w:val="0"/>
              <w:spacing w:before="0" w:after="0"/>
              <w:jc w:val="both"/>
              <w:rPr/>
            </w:pPr>
            <w:r>
              <w:rPr/>
              <w:t xml:space="preserve">The register of members of a British Virgin Island company provides </w:t>
            </w:r>
            <w:r>
              <w:rPr>
                <w:i/>
              </w:rPr>
              <w:t>prima facie</w:t>
            </w:r>
            <w:r>
              <w:rPr/>
              <w:t xml:space="preserve"> evidence of the legal ownership of registered shares in a company. No purported creation or transfer of legal title to Ordinary Shares is effective until the register of members is updated accordingly. However, the register of members may be subject to rectification (for example, in the case of fraud or manifest error).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0" w:name="z7b26d3b4a253402c997ec3fde3aa85e4"/>
      <w:bookmarkStart w:id="431" w:name="z7b26d3b4a253402c997ec3fde3aa85e4"/>
      <w:bookmarkEnd w:id="431"/>
    </w:p>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pPr>
            <w:r>
              <w:rPr/>
              <w:t>3.</w:t>
            </w:r>
          </w:p>
        </w:tc>
        <w:tc>
          <w:tcPr>
            <w:tcW w:w="10019" w:type="dxa"/>
            <w:tcBorders/>
            <w:vAlign w:val="center"/>
          </w:tcPr>
          <w:p>
            <w:pPr>
              <w:pStyle w:val="TableContents"/>
              <w:bidi w:val="0"/>
              <w:spacing w:before="0" w:after="0"/>
              <w:jc w:val="both"/>
              <w:rPr/>
            </w:pPr>
            <w:r>
              <w:rPr/>
              <w:t>The obligations of the Company may be subject to restrictions pursuant to United Nations or other applicable international sanctions as implemented under the laws of the British Virgin Islands.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2" w:name="z259cb2897be14826b892f17bae7a8c8d"/>
      <w:bookmarkStart w:id="433" w:name="z259cb2897be14826b892f17bae7a8c8d"/>
      <w:bookmarkEnd w:id="433"/>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pPr>
            <w:r>
              <w:rPr/>
              <w:t>4.</w:t>
            </w:r>
          </w:p>
        </w:tc>
        <w:tc>
          <w:tcPr>
            <w:tcW w:w="10030" w:type="dxa"/>
            <w:tcBorders/>
            <w:vAlign w:val="center"/>
          </w:tcPr>
          <w:p>
            <w:pPr>
              <w:pStyle w:val="TableContents"/>
              <w:bidi w:val="0"/>
              <w:spacing w:before="0" w:after="0"/>
              <w:jc w:val="both"/>
              <w:rPr/>
            </w:pPr>
            <w:r>
              <w:rPr/>
              <w:t>The term "non-assessable" means that the holders of fully paid shares in the Company have no liability to the Company, as shareholder, except for any liability expressly provided for in the Memorandum or Articles of Association and any liability to repay a distribution under the Act.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34" w:name="ny20075344x1_ex10-4.htm"/>
      <w:bookmarkStart w:id="435" w:name="ksny20075344x1_ex104"/>
      <w:bookmarkStart w:id="436" w:name="ny20075344x1_ex10-4.htm"/>
      <w:bookmarkStart w:id="437" w:name="ksny20075344x1_ex104"/>
      <w:bookmarkEnd w:id="436"/>
      <w:bookmarkEnd w:id="437"/>
      <w:r>
        <w:br w:type="page"/>
      </w:r>
    </w:p>
    <w:p>
      <w:pPr>
        <w:pStyle w:val="TextBody"/>
        <w:bidi w:val="0"/>
        <w:spacing w:before="0" w:after="0"/>
        <w:jc w:val="right"/>
        <w:rPr>
          <w:rFonts w:ascii="Times New Roman" w:hAnsi="Times New Roman"/>
          <w:b/>
          <w:color w:val="000000"/>
          <w:sz w:val="20"/>
        </w:rPr>
      </w:pPr>
      <w:bookmarkStart w:id="438" w:name="OLE_LINK347"/>
      <w:bookmarkEnd w:id="438"/>
      <w:r>
        <w:rPr>
          <w:rFonts w:ascii="Times New Roman" w:hAnsi="Times New Roman"/>
          <w:b/>
          <w:color w:val="000000"/>
          <w:sz w:val="20"/>
        </w:rPr>
        <w:t>Exhibit 10.4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br/>
        <w:t>SECURITIES PURCHASE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Securities Purchase Agreement (this “</w:t>
      </w:r>
      <w:r>
        <w:rPr>
          <w:rFonts w:ascii="Times New Roman" w:hAnsi="Times New Roman"/>
          <w:b/>
          <w:color w:val="000000"/>
          <w:sz w:val="20"/>
          <w:u w:val="single"/>
        </w:rPr>
        <w:t>Agreement</w:t>
      </w:r>
      <w:r>
        <w:rPr>
          <w:rFonts w:ascii="Times New Roman" w:hAnsi="Times New Roman"/>
          <w:color w:val="000000"/>
          <w:sz w:val="20"/>
        </w:rPr>
        <w:t xml:space="preserve">”) is dated as of </w:t>
      </w:r>
      <w:bookmarkStart w:id="439" w:name="OLE_LINK28"/>
      <w:bookmarkEnd w:id="439"/>
      <w:r>
        <w:rPr>
          <w:rFonts w:ascii="Times New Roman" w:hAnsi="Times New Roman"/>
          <w:color w:val="000000"/>
          <w:sz w:val="20"/>
        </w:rPr>
        <w:t>[●], 2026, between Waton Financial Limited</w:t>
      </w:r>
      <w:bookmarkStart w:id="440" w:name="OLE_LINK271"/>
      <w:bookmarkEnd w:id="440"/>
      <w:r>
        <w:rPr>
          <w:rFonts w:ascii="Times New Roman" w:hAnsi="Times New Roman"/>
          <w:color w:val="000000"/>
          <w:sz w:val="20"/>
        </w:rPr>
        <w:t>, a British Virgin Islands corporation (the “</w:t>
      </w:r>
      <w:r>
        <w:rPr>
          <w:rFonts w:ascii="Times New Roman" w:hAnsi="Times New Roman"/>
          <w:b/>
          <w:color w:val="000000"/>
          <w:sz w:val="20"/>
          <w:u w:val="single"/>
        </w:rPr>
        <w:t>Company</w:t>
      </w:r>
      <w:r>
        <w:rPr>
          <w:rFonts w:ascii="Times New Roman" w:hAnsi="Times New Roman"/>
          <w:color w:val="000000"/>
          <w:sz w:val="20"/>
        </w:rPr>
        <w:t>”), and each purchaser identified on the signature pages hereto (including their respective successors and assigns, each a “</w:t>
      </w:r>
      <w:r>
        <w:rPr>
          <w:rFonts w:ascii="Times New Roman" w:hAnsi="Times New Roman"/>
          <w:b/>
          <w:color w:val="000000"/>
          <w:sz w:val="20"/>
          <w:u w:val="single"/>
        </w:rPr>
        <w:t>Purchaser</w:t>
      </w:r>
      <w:r>
        <w:rPr>
          <w:rFonts w:ascii="Times New Roman" w:hAnsi="Times New Roman"/>
          <w:color w:val="000000"/>
          <w:sz w:val="20"/>
        </w:rPr>
        <w:t>” and collectively, the “</w:t>
      </w:r>
      <w:r>
        <w:rPr>
          <w:rFonts w:ascii="Times New Roman" w:hAnsi="Times New Roman"/>
          <w:b/>
          <w:color w:val="000000"/>
          <w:sz w:val="20"/>
          <w:u w:val="single"/>
        </w:rPr>
        <w:t>Purchasers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WHEREAS</w:t>
      </w:r>
      <w:r>
        <w:rPr>
          <w:rFonts w:ascii="Times New Roman" w:hAnsi="Times New Roman"/>
          <w:color w:val="000000"/>
          <w:sz w:val="20"/>
        </w:rPr>
        <w:t>, subject to the terms and conditions set forth in this Agreement and pursuant to an effective registration statement under the Securities Act of 1933, as amended (the “</w:t>
      </w:r>
      <w:r>
        <w:rPr>
          <w:rFonts w:ascii="Times New Roman" w:hAnsi="Times New Roman"/>
          <w:b/>
          <w:color w:val="000000"/>
          <w:sz w:val="20"/>
          <w:u w:val="single"/>
        </w:rPr>
        <w:t>Securities Act</w:t>
      </w:r>
      <w:r>
        <w:rPr>
          <w:rFonts w:ascii="Times New Roman" w:hAnsi="Times New Roman"/>
          <w:color w:val="000000"/>
          <w:sz w:val="20"/>
        </w:rPr>
        <w:t>”),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4"/>
        </w:rPr>
      </w:pPr>
      <w:r>
        <w:rPr>
          <w:rFonts w:ascii="Times New Roman" w:hAnsi="Times New Roman"/>
          <w:b/>
          <w:color w:val="000000"/>
          <w:sz w:val="20"/>
        </w:rPr>
        <w:t>NOW, THEREFORE, IN CONSIDERATION</w:t>
      </w:r>
      <w:r>
        <w:rPr>
          <w:rFonts w:ascii="Times New Roman" w:hAnsi="Times New Roman"/>
          <w:color w:val="000000"/>
          <w:sz w:val="24"/>
        </w:rPr>
        <w:t xml:space="preserve"> </w:t>
      </w:r>
      <w:r>
        <w:rPr>
          <w:rFonts w:ascii="Times New Roman" w:hAnsi="Times New Roman"/>
          <w:color w:val="000000"/>
          <w:sz w:val="20"/>
        </w:rPr>
        <w:t>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1" w:name="z55d7e6129a7c40d8967402cdd01ceae6"/>
      <w:bookmarkStart w:id="442" w:name="z55d7e6129a7c40d8967402cdd01ceae6"/>
      <w:bookmarkEnd w:id="442"/>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pPr>
            <w:bookmarkStart w:id="443" w:name="z_Ref151289034"/>
            <w:bookmarkEnd w:id="443"/>
            <w:r>
              <w:rPr/>
              <w:t>1.</w:t>
            </w:r>
          </w:p>
        </w:tc>
        <w:tc>
          <w:tcPr>
            <w:tcW w:w="10009" w:type="dxa"/>
            <w:tcBorders/>
            <w:vAlign w:val="center"/>
          </w:tcPr>
          <w:p>
            <w:pPr>
              <w:pStyle w:val="TableContents"/>
              <w:bidi w:val="0"/>
              <w:spacing w:before="0" w:after="0"/>
              <w:jc w:val="both"/>
              <w:rPr>
                <w:sz w:val="24"/>
              </w:rPr>
            </w:pPr>
            <w:r>
              <w:rPr>
                <w:b/>
                <w:sz w:val="20"/>
                <w:u w:val="single"/>
              </w:rPr>
              <w:t>Definitions</w:t>
            </w:r>
            <w:r>
              <w:rPr>
                <w:sz w:val="20"/>
              </w:rPr>
              <w:t>. In addition to the terms defined elsewhere in this Agreement, for all purposes of this Agreement, the following terms have the meanings set forth in this Section 1:</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1.1.       “</w:t>
      </w:r>
      <w:r>
        <w:rPr>
          <w:rFonts w:ascii="Times New Roman" w:hAnsi="Times New Roman"/>
          <w:b/>
          <w:color w:val="000000"/>
          <w:sz w:val="20"/>
          <w:u w:val="single"/>
        </w:rPr>
        <w:t>Acquiring Person</w:t>
      </w:r>
      <w:r>
        <w:rPr>
          <w:rFonts w:ascii="Times New Roman" w:hAnsi="Times New Roman"/>
          <w:color w:val="000000"/>
          <w:sz w:val="20"/>
        </w:rPr>
        <w:t>” shall have the meaning ascribed to such term in Section 4.4.</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1.2.       “</w:t>
      </w:r>
      <w:r>
        <w:rPr>
          <w:rFonts w:ascii="Times New Roman" w:hAnsi="Times New Roman"/>
          <w:b/>
          <w:color w:val="000000"/>
          <w:sz w:val="20"/>
          <w:u w:val="single"/>
        </w:rPr>
        <w:t>Action</w:t>
      </w:r>
      <w:r>
        <w:rPr>
          <w:rFonts w:ascii="Times New Roman" w:hAnsi="Times New Roman"/>
          <w:color w:val="000000"/>
          <w:sz w:val="20"/>
        </w:rPr>
        <w:t>” shall have the meaning ascribed to such term in Section 3.1.11.</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1.3.      “</w:t>
      </w:r>
      <w:r>
        <w:rPr>
          <w:rFonts w:ascii="Times New Roman" w:hAnsi="Times New Roman"/>
          <w:b/>
          <w:color w:val="000000"/>
          <w:sz w:val="20"/>
          <w:u w:val="single"/>
        </w:rPr>
        <w:t>Affiliate</w:t>
      </w:r>
      <w:r>
        <w:rPr>
          <w:rFonts w:ascii="Times New Roman" w:hAnsi="Times New Roman"/>
          <w:color w:val="000000"/>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444" w:name="OLE_LINK1381"/>
      <w:bookmarkStart w:id="445" w:name="z_Hlk151274510"/>
      <w:bookmarkEnd w:id="444"/>
      <w:bookmarkEnd w:id="445"/>
      <w:r>
        <w:rPr>
          <w:rFonts w:ascii="Times New Roman" w:hAnsi="Times New Roman"/>
          <w:color w:val="000000"/>
          <w:sz w:val="20"/>
        </w:rPr>
        <w:t>1.4.       “</w:t>
      </w:r>
      <w:r>
        <w:rPr>
          <w:rFonts w:ascii="Times New Roman" w:hAnsi="Times New Roman"/>
          <w:b/>
          <w:color w:val="000000"/>
          <w:sz w:val="20"/>
          <w:u w:val="single"/>
        </w:rPr>
        <w:t>Agreement</w:t>
      </w:r>
      <w:r>
        <w:rPr>
          <w:rFonts w:ascii="Times New Roman" w:hAnsi="Times New Roman"/>
          <w:color w:val="000000"/>
          <w:sz w:val="20"/>
        </w:rPr>
        <w:t>” shall have the meaning ascribed to such term in the preamble.</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446" w:name="OLE_LINK135"/>
      <w:bookmarkStart w:id="447" w:name="z_Hlk151274498"/>
      <w:bookmarkEnd w:id="446"/>
      <w:bookmarkEnd w:id="447"/>
      <w:r>
        <w:rPr>
          <w:rFonts w:ascii="Times New Roman" w:hAnsi="Times New Roman"/>
          <w:color w:val="000000"/>
          <w:sz w:val="20"/>
        </w:rPr>
        <w:t>1.5.       “</w:t>
      </w:r>
      <w:r>
        <w:rPr>
          <w:rFonts w:ascii="Times New Roman" w:hAnsi="Times New Roman"/>
          <w:b/>
          <w:color w:val="000000"/>
          <w:sz w:val="20"/>
          <w:u w:val="single"/>
        </w:rPr>
        <w:t>BHCA</w:t>
      </w:r>
      <w:r>
        <w:rPr>
          <w:rFonts w:ascii="Times New Roman" w:hAnsi="Times New Roman"/>
          <w:color w:val="000000"/>
          <w:sz w:val="20"/>
        </w:rPr>
        <w:t>” shall have the meaning ascribed to such term in Section 3.1.40.</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1.6.       “</w:t>
      </w:r>
      <w:r>
        <w:rPr>
          <w:rFonts w:ascii="Times New Roman" w:hAnsi="Times New Roman"/>
          <w:b/>
          <w:color w:val="000000"/>
          <w:sz w:val="20"/>
          <w:u w:val="single"/>
        </w:rPr>
        <w:t>Board of Directors</w:t>
      </w:r>
      <w:r>
        <w:rPr>
          <w:rFonts w:ascii="Times New Roman" w:hAnsi="Times New Roman"/>
          <w:color w:val="000000"/>
          <w:sz w:val="20"/>
        </w:rPr>
        <w:t>” means the board of directors of the Company.</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448" w:name="OLE_LINK140"/>
      <w:bookmarkStart w:id="449" w:name="OLE_LINK1391"/>
      <w:bookmarkEnd w:id="448"/>
      <w:bookmarkEnd w:id="449"/>
      <w:r>
        <w:rPr>
          <w:rFonts w:ascii="Times New Roman" w:hAnsi="Times New Roman"/>
          <w:color w:val="000000"/>
          <w:sz w:val="20"/>
        </w:rPr>
        <w:t>1.7.      “</w:t>
      </w:r>
      <w:r>
        <w:rPr>
          <w:rFonts w:ascii="Times New Roman" w:hAnsi="Times New Roman"/>
          <w:b/>
          <w:color w:val="000000"/>
          <w:sz w:val="20"/>
          <w:u w:val="single"/>
        </w:rPr>
        <w:t>Business Day</w:t>
      </w:r>
      <w:r>
        <w:rPr>
          <w:rFonts w:ascii="Times New Roman" w:hAnsi="Times New Roman"/>
          <w:color w:val="000000"/>
          <w:sz w:val="20"/>
        </w:rPr>
        <w:t xml:space="preserve">” means a Calendar Day other than a Saturday, Sunday or any other Calendar Day which is a federal legal holiday in the United States or any Calendar Day on which </w:t>
      </w:r>
      <w:bookmarkStart w:id="450" w:name="OLE_LINK199"/>
      <w:bookmarkEnd w:id="450"/>
      <w:r>
        <w:rPr>
          <w:rFonts w:ascii="Times New Roman" w:hAnsi="Times New Roman"/>
          <w:color w:val="000000"/>
          <w:sz w:val="20"/>
        </w:rPr>
        <w:t>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1.8.      “</w:t>
      </w:r>
      <w:r>
        <w:rPr>
          <w:rFonts w:ascii="Times New Roman" w:hAnsi="Times New Roman"/>
          <w:b/>
          <w:color w:val="000000"/>
          <w:sz w:val="20"/>
          <w:u w:val="single"/>
        </w:rPr>
        <w:t>Calendar Day</w:t>
      </w:r>
      <w:r>
        <w:rPr>
          <w:rFonts w:ascii="Times New Roman" w:hAnsi="Times New Roman"/>
          <w:color w:val="000000"/>
          <w:sz w:val="20"/>
        </w:rPr>
        <w:t>” means each and every day of the week (Sunday, Monday, Tuesday, Wednesday, Thursday, Friday and Saturday).</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1.9.       “</w:t>
      </w:r>
      <w:r>
        <w:rPr>
          <w:rFonts w:ascii="Times New Roman" w:hAnsi="Times New Roman"/>
          <w:b/>
          <w:color w:val="000000"/>
          <w:sz w:val="20"/>
          <w:u w:val="single"/>
        </w:rPr>
        <w:t>Closing</w:t>
      </w:r>
      <w:r>
        <w:rPr>
          <w:rFonts w:ascii="Times New Roman" w:hAnsi="Times New Roman"/>
          <w:color w:val="000000"/>
          <w:sz w:val="20"/>
        </w:rPr>
        <w:t>” means the closing of the purchase and sale of the Securities pursuant to Section 2.1.</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451" w:name="OLE_LINK132"/>
      <w:bookmarkStart w:id="452" w:name="z_Hlk151274430"/>
      <w:bookmarkEnd w:id="451"/>
      <w:bookmarkEnd w:id="452"/>
      <w:r>
        <w:rPr>
          <w:rFonts w:ascii="Times New Roman" w:hAnsi="Times New Roman"/>
          <w:color w:val="000000"/>
          <w:sz w:val="20"/>
        </w:rPr>
        <w:t>1.10.     “</w:t>
      </w:r>
      <w:r>
        <w:rPr>
          <w:rFonts w:ascii="Times New Roman" w:hAnsi="Times New Roman"/>
          <w:b/>
          <w:color w:val="000000"/>
          <w:sz w:val="20"/>
          <w:u w:val="single"/>
        </w:rPr>
        <w:t>Closing Date</w:t>
      </w:r>
      <w:r>
        <w:rPr>
          <w:rFonts w:ascii="Times New Roman" w:hAnsi="Times New Roman"/>
          <w:color w:val="000000"/>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(2nd) Trading Day following the date hereof.</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1.11.     “</w:t>
      </w:r>
      <w:r>
        <w:rPr>
          <w:rFonts w:ascii="Times New Roman" w:hAnsi="Times New Roman"/>
          <w:b/>
          <w:color w:val="000000"/>
          <w:sz w:val="20"/>
          <w:u w:val="single"/>
        </w:rPr>
        <w:t>Code</w:t>
      </w:r>
      <w:r>
        <w:rPr>
          <w:rFonts w:ascii="Times New Roman" w:hAnsi="Times New Roman"/>
          <w:color w:val="000000"/>
          <w:sz w:val="20"/>
        </w:rPr>
        <w:t>” means the Internal Revenue Code of 1986, as amended.</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1.12.    “</w:t>
      </w:r>
      <w:r>
        <w:rPr>
          <w:rFonts w:ascii="Times New Roman" w:hAnsi="Times New Roman"/>
          <w:b/>
          <w:color w:val="000000"/>
          <w:sz w:val="20"/>
          <w:u w:val="single"/>
        </w:rPr>
        <w:t>Commission</w:t>
      </w:r>
      <w:r>
        <w:rPr>
          <w:rFonts w:ascii="Times New Roman" w:hAnsi="Times New Roman"/>
          <w:color w:val="000000"/>
          <w:sz w:val="20"/>
        </w:rPr>
        <w:t>” means the United States Securities and Exchange Commission.</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1.13.    “</w:t>
      </w:r>
      <w:r>
        <w:rPr>
          <w:rFonts w:ascii="Times New Roman" w:hAnsi="Times New Roman"/>
          <w:b/>
          <w:color w:val="000000"/>
          <w:sz w:val="20"/>
          <w:u w:val="single"/>
        </w:rPr>
        <w:t>Company</w:t>
      </w:r>
      <w:r>
        <w:rPr>
          <w:rFonts w:ascii="Times New Roman" w:hAnsi="Times New Roman"/>
          <w:color w:val="000000"/>
          <w:sz w:val="20"/>
        </w:rPr>
        <w:t>” shall have the meaning ascribed to such term in the preamble.</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1.14.    “</w:t>
      </w:r>
      <w:r>
        <w:rPr>
          <w:rFonts w:ascii="Times New Roman" w:hAnsi="Times New Roman"/>
          <w:b/>
          <w:color w:val="000000"/>
          <w:sz w:val="20"/>
          <w:u w:val="single"/>
        </w:rPr>
        <w:t>Company Counsel</w:t>
      </w:r>
      <w:r>
        <w:rPr>
          <w:rFonts w:ascii="Times New Roman" w:hAnsi="Times New Roman"/>
          <w:color w:val="000000"/>
          <w:sz w:val="20"/>
        </w:rPr>
        <w:t>” means, with respect to U.S. federal securities law and New York law, Hunter Taubman Fischer &amp; Li LLC, 950 Third Avenue, 19th Floor, New York, NY 10022.</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1.15.     “</w:t>
      </w:r>
      <w:r>
        <w:rPr>
          <w:rFonts w:ascii="Times New Roman" w:hAnsi="Times New Roman"/>
          <w:b/>
          <w:color w:val="000000"/>
          <w:sz w:val="20"/>
          <w:u w:val="single"/>
        </w:rPr>
        <w:t>Disclosure Schedules</w:t>
      </w:r>
      <w:r>
        <w:rPr>
          <w:rFonts w:ascii="Times New Roman" w:hAnsi="Times New Roman"/>
          <w:color w:val="000000"/>
          <w:sz w:val="20"/>
        </w:rPr>
        <w:t>” means the Disclosure Schedules of the Company delivered concurrently herewith.</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1.16.     “</w:t>
      </w:r>
      <w:r>
        <w:rPr>
          <w:rFonts w:ascii="Times New Roman" w:hAnsi="Times New Roman"/>
          <w:b/>
          <w:color w:val="000000"/>
          <w:sz w:val="20"/>
          <w:u w:val="single"/>
        </w:rPr>
        <w:t>Disclosure Time</w:t>
      </w:r>
      <w:r>
        <w:rPr>
          <w:rFonts w:ascii="Times New Roman" w:hAnsi="Times New Roman"/>
          <w:color w:val="000000"/>
          <w:sz w:val="20"/>
        </w:rPr>
        <w:t>” means, (i) if this Agreement is signed on a Calendar Day that is not a Trading Day or after 9:00 a.m. (New York City time) and before midnight (New York City time) on any Trading Day, 9:01 a.m. (New York City time) on the Trading Day immediately following the date hereof, unless otherwise agreed to by both parties, and (ii) if this Agreement is signed between midnight (New York City time) and 9:00 a.m. (New York City time) on any Trading Day, no later than 9:01 a.m. (New York City time) on the date hereof, unless otherwise agreed to by both parties.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1.17.    “</w:t>
      </w:r>
      <w:r>
        <w:rPr>
          <w:rFonts w:ascii="Times New Roman" w:hAnsi="Times New Roman"/>
          <w:b/>
          <w:color w:val="000000"/>
          <w:sz w:val="20"/>
          <w:u w:val="single"/>
        </w:rPr>
        <w:t>Evaluation Date</w:t>
      </w:r>
      <w:r>
        <w:rPr>
          <w:rFonts w:ascii="Times New Roman" w:hAnsi="Times New Roman"/>
          <w:color w:val="000000"/>
          <w:sz w:val="20"/>
        </w:rPr>
        <w:t>” shall have the meaning ascribed to such term in Section 3.1.20.</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1.18.     “</w:t>
      </w:r>
      <w:r>
        <w:rPr>
          <w:rFonts w:ascii="Times New Roman" w:hAnsi="Times New Roman"/>
          <w:b/>
          <w:color w:val="000000"/>
          <w:sz w:val="20"/>
          <w:u w:val="single"/>
        </w:rPr>
        <w:t>Exchange Act</w:t>
      </w:r>
      <w:r>
        <w:rPr>
          <w:rFonts w:ascii="Times New Roman" w:hAnsi="Times New Roman"/>
          <w:color w:val="000000"/>
          <w:sz w:val="20"/>
        </w:rPr>
        <w:t>” means the Securities Exchange Act of 1934, as amended, and the rules and regulations promulgated thereunder.</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1.19.    “</w:t>
      </w:r>
      <w:r>
        <w:rPr>
          <w:rFonts w:ascii="Times New Roman" w:hAnsi="Times New Roman"/>
          <w:b/>
          <w:color w:val="000000"/>
          <w:sz w:val="20"/>
          <w:u w:val="single"/>
        </w:rPr>
        <w:t>FCPA</w:t>
      </w:r>
      <w:r>
        <w:rPr>
          <w:rFonts w:ascii="Times New Roman" w:hAnsi="Times New Roman"/>
          <w:color w:val="000000"/>
          <w:sz w:val="20"/>
        </w:rPr>
        <w:t>” means the Foreign Corrupt Practices Act of 1977, as amended.</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1.20.     “</w:t>
      </w:r>
      <w:r>
        <w:rPr>
          <w:rFonts w:ascii="Times New Roman" w:hAnsi="Times New Roman"/>
          <w:b/>
          <w:color w:val="000000"/>
          <w:sz w:val="20"/>
          <w:u w:val="single"/>
        </w:rPr>
        <w:t>Federal Reserve</w:t>
      </w:r>
      <w:r>
        <w:rPr>
          <w:rFonts w:ascii="Times New Roman" w:hAnsi="Times New Roman"/>
          <w:color w:val="000000"/>
          <w:sz w:val="20"/>
        </w:rPr>
        <w:t>” shall have the meaning ascribed to such term in Section 3.1.40.</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1.21.     “</w:t>
      </w:r>
      <w:r>
        <w:rPr>
          <w:rFonts w:ascii="Times New Roman" w:hAnsi="Times New Roman"/>
          <w:b/>
          <w:color w:val="000000"/>
          <w:sz w:val="20"/>
          <w:u w:val="single"/>
        </w:rPr>
        <w:t>Foreign Counsel</w:t>
      </w:r>
      <w:r>
        <w:rPr>
          <w:rFonts w:ascii="Times New Roman" w:hAnsi="Times New Roman"/>
          <w:color w:val="000000"/>
          <w:sz w:val="20"/>
        </w:rPr>
        <w:t>” means Carey Olsen Singapore LLP, 10 Collyer Quay #29-10, Ocean Financial Centre, Singapore 049315.</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1.22.     “</w:t>
      </w:r>
      <w:r>
        <w:rPr>
          <w:rFonts w:ascii="Times New Roman" w:hAnsi="Times New Roman"/>
          <w:b/>
          <w:color w:val="000000"/>
          <w:sz w:val="20"/>
          <w:u w:val="single"/>
        </w:rPr>
        <w:t>Final Prospectus</w:t>
      </w:r>
      <w:r>
        <w:rPr>
          <w:rFonts w:ascii="Times New Roman" w:hAnsi="Times New Roman"/>
          <w:color w:val="000000"/>
          <w:sz w:val="20"/>
        </w:rPr>
        <w:t>” means the supplement to the Prospectus complying with Rule 424(b) of the Securities Act that is filed with the Commission and delivered by the Company to each Purchaser at Closing.</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1.23.     “</w:t>
      </w:r>
      <w:r>
        <w:rPr>
          <w:rFonts w:ascii="Times New Roman" w:hAnsi="Times New Roman"/>
          <w:b/>
          <w:color w:val="000000"/>
          <w:sz w:val="20"/>
          <w:u w:val="single"/>
        </w:rPr>
        <w:t>GAAP</w:t>
      </w:r>
      <w:r>
        <w:rPr>
          <w:rFonts w:ascii="Times New Roman" w:hAnsi="Times New Roman"/>
          <w:color w:val="000000"/>
          <w:sz w:val="20"/>
        </w:rPr>
        <w:t>” shall have the meaning ascribed to such term in Section 3.1.9.</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1.24.     “</w:t>
      </w:r>
      <w:r>
        <w:rPr>
          <w:rFonts w:ascii="Times New Roman" w:hAnsi="Times New Roman"/>
          <w:b/>
          <w:color w:val="000000"/>
          <w:sz w:val="20"/>
          <w:u w:val="single"/>
        </w:rPr>
        <w:t>Indebtedness</w:t>
      </w:r>
      <w:r>
        <w:rPr>
          <w:rFonts w:ascii="Times New Roman" w:hAnsi="Times New Roman"/>
          <w:color w:val="000000"/>
          <w:sz w:val="20"/>
        </w:rPr>
        <w:t>” shall have the meaning ascribed to such term in Section 3.1.27.</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1.25.     “</w:t>
      </w:r>
      <w:r>
        <w:rPr>
          <w:rFonts w:ascii="Times New Roman" w:hAnsi="Times New Roman"/>
          <w:b/>
          <w:color w:val="000000"/>
          <w:sz w:val="20"/>
          <w:u w:val="single"/>
        </w:rPr>
        <w:t>Intellectual Property Rights</w:t>
      </w:r>
      <w:r>
        <w:rPr>
          <w:rFonts w:ascii="Times New Roman" w:hAnsi="Times New Roman"/>
          <w:color w:val="000000"/>
          <w:sz w:val="20"/>
        </w:rPr>
        <w:t>” shall have the meaning ascribed to such term in Section 3.1.17.</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1.26.     “</w:t>
      </w:r>
      <w:r>
        <w:rPr>
          <w:rFonts w:ascii="Times New Roman" w:hAnsi="Times New Roman"/>
          <w:b/>
          <w:color w:val="000000"/>
          <w:sz w:val="20"/>
          <w:u w:val="single"/>
        </w:rPr>
        <w:t>IT Systems and Data</w:t>
      </w:r>
      <w:r>
        <w:rPr>
          <w:rFonts w:ascii="Times New Roman" w:hAnsi="Times New Roman"/>
          <w:color w:val="000000"/>
          <w:sz w:val="20"/>
        </w:rPr>
        <w:t>” shall have the meaning ascribed to such term in Section 3.1.43.</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1.27.     “</w:t>
      </w:r>
      <w:r>
        <w:rPr>
          <w:rFonts w:ascii="Times New Roman" w:hAnsi="Times New Roman"/>
          <w:b/>
          <w:color w:val="000000"/>
          <w:sz w:val="20"/>
          <w:u w:val="single"/>
        </w:rPr>
        <w:t>Liens</w:t>
      </w:r>
      <w:r>
        <w:rPr>
          <w:rFonts w:ascii="Times New Roman" w:hAnsi="Times New Roman"/>
          <w:color w:val="000000"/>
          <w:sz w:val="20"/>
        </w:rPr>
        <w:t>” means a lien, charge pledge, security interest, encumbrance, right of first refusal, preemptive right or other restriction.</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453" w:name="OLE_LINK3321"/>
      <w:bookmarkStart w:id="454" w:name="OLE_LINK331"/>
      <w:bookmarkStart w:id="455" w:name="z_Ref151714006"/>
      <w:bookmarkEnd w:id="453"/>
      <w:bookmarkEnd w:id="454"/>
      <w:bookmarkEnd w:id="455"/>
      <w:r>
        <w:rPr>
          <w:rFonts w:ascii="Times New Roman" w:hAnsi="Times New Roman"/>
          <w:color w:val="000000"/>
          <w:sz w:val="20"/>
        </w:rPr>
        <w:t>1.28.     “</w:t>
      </w:r>
      <w:r>
        <w:rPr>
          <w:rFonts w:ascii="Times New Roman" w:hAnsi="Times New Roman"/>
          <w:b/>
          <w:color w:val="000000"/>
          <w:sz w:val="20"/>
          <w:u w:val="single"/>
        </w:rPr>
        <w:t>Lock-Up Agreement</w:t>
      </w:r>
      <w:r>
        <w:rPr>
          <w:rFonts w:ascii="Times New Roman" w:hAnsi="Times New Roman"/>
          <w:color w:val="000000"/>
          <w:sz w:val="20"/>
        </w:rPr>
        <w:t xml:space="preserve">” means each Lock-Up Agreement, dated as of the date hereof, by and between the Company and each of the directors, executive officers, and shareholders holding at least </w:t>
      </w:r>
      <w:bookmarkStart w:id="456" w:name="OLE_LINK761"/>
      <w:bookmarkStart w:id="457" w:name="OLE_LINK751"/>
      <w:bookmarkEnd w:id="456"/>
      <w:bookmarkEnd w:id="457"/>
      <w:r>
        <w:rPr>
          <w:rFonts w:ascii="Times New Roman" w:hAnsi="Times New Roman"/>
          <w:color w:val="000000"/>
          <w:sz w:val="20"/>
        </w:rPr>
        <w:t xml:space="preserve">ten percent (10%) of the outstanding Ordinary Shares, in the form of </w:t>
      </w:r>
      <w:r>
        <w:rPr>
          <w:rFonts w:ascii="Times New Roman" w:hAnsi="Times New Roman"/>
          <w:b/>
          <w:color w:val="000000"/>
          <w:sz w:val="20"/>
          <w:u w:val="single"/>
        </w:rPr>
        <w:t>Exhibit A</w:t>
      </w:r>
      <w:r>
        <w:rPr>
          <w:rFonts w:ascii="Times New Roman" w:hAnsi="Times New Roman"/>
          <w:color w:val="000000"/>
          <w:sz w:val="20"/>
        </w:rPr>
        <w:t xml:space="preserve"> attached hereto.</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1.29.     “</w:t>
      </w:r>
      <w:r>
        <w:rPr>
          <w:rFonts w:ascii="Times New Roman" w:hAnsi="Times New Roman"/>
          <w:b/>
          <w:color w:val="000000"/>
          <w:sz w:val="20"/>
          <w:u w:val="single"/>
        </w:rPr>
        <w:t>Material Adverse Effect</w:t>
      </w:r>
      <w:r>
        <w:rPr>
          <w:rFonts w:ascii="Times New Roman" w:hAnsi="Times New Roman"/>
          <w:color w:val="000000"/>
          <w:sz w:val="20"/>
        </w:rPr>
        <w:t>” shall have the meaning assigned to such term in Section 3.1.2.</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1.30.     “</w:t>
      </w:r>
      <w:r>
        <w:rPr>
          <w:rFonts w:ascii="Times New Roman" w:hAnsi="Times New Roman"/>
          <w:b/>
          <w:color w:val="000000"/>
          <w:sz w:val="20"/>
          <w:u w:val="single"/>
        </w:rPr>
        <w:t>Material Permits</w:t>
      </w:r>
      <w:r>
        <w:rPr>
          <w:rFonts w:ascii="Times New Roman" w:hAnsi="Times New Roman"/>
          <w:color w:val="000000"/>
          <w:sz w:val="20"/>
        </w:rPr>
        <w:t>” shall have the meaning ascribed to such term in Section 3.1.15.</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1.31.     “</w:t>
      </w:r>
      <w:r>
        <w:rPr>
          <w:rFonts w:ascii="Times New Roman" w:hAnsi="Times New Roman"/>
          <w:b/>
          <w:color w:val="000000"/>
          <w:sz w:val="20"/>
          <w:u w:val="single"/>
        </w:rPr>
        <w:t>Money Laundering Laws</w:t>
      </w:r>
      <w:r>
        <w:rPr>
          <w:rFonts w:ascii="Times New Roman" w:hAnsi="Times New Roman"/>
          <w:color w:val="000000"/>
          <w:sz w:val="20"/>
        </w:rPr>
        <w:t>” shall have the meaning ascribed to such term in Section 3.1.41.</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1.32.     “</w:t>
      </w:r>
      <w:r>
        <w:rPr>
          <w:rFonts w:ascii="Times New Roman" w:hAnsi="Times New Roman"/>
          <w:b/>
          <w:color w:val="000000"/>
          <w:sz w:val="20"/>
          <w:u w:val="single"/>
        </w:rPr>
        <w:t>OFAC</w:t>
      </w:r>
      <w:r>
        <w:rPr>
          <w:rFonts w:ascii="Times New Roman" w:hAnsi="Times New Roman"/>
          <w:color w:val="000000"/>
          <w:sz w:val="20"/>
        </w:rPr>
        <w:t>” shall have the meaning ascribed to such term in Section 3.1.38.</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458" w:name="OLE_LINK143"/>
      <w:bookmarkStart w:id="459" w:name="OLE_LINK142"/>
      <w:bookmarkEnd w:id="458"/>
      <w:bookmarkEnd w:id="459"/>
      <w:r>
        <w:rPr>
          <w:rFonts w:ascii="Times New Roman" w:hAnsi="Times New Roman"/>
          <w:color w:val="000000"/>
          <w:sz w:val="20"/>
        </w:rPr>
        <w:t>1.33.     “</w:t>
      </w:r>
      <w:r>
        <w:rPr>
          <w:rFonts w:ascii="Times New Roman" w:hAnsi="Times New Roman"/>
          <w:b/>
          <w:color w:val="000000"/>
          <w:sz w:val="20"/>
          <w:u w:val="single"/>
        </w:rPr>
        <w:t>Ordinary Shares</w:t>
      </w:r>
      <w:r>
        <w:rPr>
          <w:rFonts w:ascii="Times New Roman" w:hAnsi="Times New Roman"/>
          <w:color w:val="000000"/>
          <w:sz w:val="20"/>
        </w:rPr>
        <w:t>” means the ordinary shares of the Company, with no par value per share, and any other class of securities into which such securities may hereafter be reclassified or changed.</w:t>
      </w:r>
      <w:bookmarkStart w:id="460" w:name="OLE_LINK721"/>
      <w:bookmarkStart w:id="461" w:name="OLE_LINK71"/>
      <w:bookmarkEnd w:id="460"/>
      <w:bookmarkEnd w:id="461"/>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1.34.    “</w:t>
      </w:r>
      <w:r>
        <w:rPr>
          <w:rFonts w:ascii="Times New Roman" w:hAnsi="Times New Roman"/>
          <w:b/>
          <w:color w:val="000000"/>
          <w:sz w:val="20"/>
          <w:u w:val="single"/>
        </w:rPr>
        <w:t>Ordinary Share Equivalents</w:t>
      </w:r>
      <w:r>
        <w:rPr>
          <w:rFonts w:ascii="Times New Roman" w:hAnsi="Times New Roman"/>
          <w:color w:val="000000"/>
          <w:sz w:val="20"/>
        </w:rPr>
        <w:t>” means any securities of the Company or the Subsidiaries which would entitle the holder thereof to acquire at any time Ordinary Shares, including, without limitation, any debt, preferred shares, right, option, warrant or other instrument that is at any time convertible into or exercisable or exchangeable for, or otherwise entitles the holder thereof to receive, Ordinary Shares.</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462" w:name="OLE_LINK131"/>
      <w:bookmarkStart w:id="463" w:name="OLE_LINK130"/>
      <w:bookmarkEnd w:id="462"/>
      <w:bookmarkEnd w:id="463"/>
      <w:r>
        <w:rPr>
          <w:rFonts w:ascii="Times New Roman" w:hAnsi="Times New Roman"/>
          <w:color w:val="000000"/>
          <w:sz w:val="20"/>
        </w:rPr>
        <w:t>1.35.    “</w:t>
      </w:r>
      <w:r>
        <w:rPr>
          <w:rFonts w:ascii="Times New Roman" w:hAnsi="Times New Roman"/>
          <w:b/>
          <w:color w:val="000000"/>
          <w:sz w:val="20"/>
          <w:u w:val="single"/>
        </w:rPr>
        <w:t xml:space="preserve">Per </w:t>
      </w:r>
      <w:bookmarkStart w:id="464" w:name="OLE_LINK161"/>
      <w:bookmarkEnd w:id="464"/>
      <w:r>
        <w:rPr>
          <w:rFonts w:ascii="Times New Roman" w:hAnsi="Times New Roman"/>
          <w:b/>
          <w:color w:val="000000"/>
          <w:sz w:val="20"/>
          <w:u w:val="single"/>
        </w:rPr>
        <w:t>Share Purchase Price</w:t>
      </w:r>
      <w:r>
        <w:rPr>
          <w:rFonts w:ascii="Times New Roman" w:hAnsi="Times New Roman"/>
          <w:color w:val="000000"/>
          <w:sz w:val="20"/>
        </w:rPr>
        <w:t>” equals $[●], subject to adjustment for reverse and forward share splits, share dividends, share combinations and other similar transactions of the Ordinary Shares that occur after the date of this Agreement.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1.36.     “</w:t>
      </w:r>
      <w:r>
        <w:rPr>
          <w:rFonts w:ascii="Times New Roman" w:hAnsi="Times New Roman"/>
          <w:b/>
          <w:color w:val="000000"/>
          <w:sz w:val="20"/>
          <w:u w:val="single"/>
        </w:rPr>
        <w:t>Person</w:t>
      </w:r>
      <w:r>
        <w:rPr>
          <w:rFonts w:ascii="Times New Roman" w:hAnsi="Times New Roman"/>
          <w:color w:val="000000"/>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1.37.     “</w:t>
      </w:r>
      <w:r>
        <w:rPr>
          <w:rFonts w:ascii="Times New Roman" w:hAnsi="Times New Roman"/>
          <w:b/>
          <w:color w:val="000000"/>
          <w:sz w:val="20"/>
          <w:u w:val="single"/>
        </w:rPr>
        <w:t>PFIC</w:t>
      </w:r>
      <w:r>
        <w:rPr>
          <w:rFonts w:ascii="Times New Roman" w:hAnsi="Times New Roman"/>
          <w:color w:val="000000"/>
          <w:sz w:val="20"/>
        </w:rPr>
        <w:t>” shall have the meaning ascribed to such term in Section 4.14.</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465" w:name="OLE_LINK158"/>
      <w:bookmarkEnd w:id="465"/>
      <w:r>
        <w:rPr>
          <w:rFonts w:ascii="Times New Roman" w:hAnsi="Times New Roman"/>
          <w:color w:val="000000"/>
          <w:sz w:val="20"/>
        </w:rPr>
        <w:t>1.38.     “</w:t>
      </w:r>
      <w:r>
        <w:rPr>
          <w:rFonts w:ascii="Times New Roman" w:hAnsi="Times New Roman"/>
          <w:b/>
          <w:color w:val="000000"/>
          <w:sz w:val="20"/>
          <w:u w:val="single"/>
        </w:rPr>
        <w:t>Placement Agent</w:t>
      </w:r>
      <w:r>
        <w:rPr>
          <w:rFonts w:ascii="Times New Roman" w:hAnsi="Times New Roman"/>
          <w:color w:val="000000"/>
          <w:sz w:val="20"/>
        </w:rPr>
        <w:t>” means Cathay Securities, Inc.</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1.39.    “</w:t>
      </w:r>
      <w:r>
        <w:rPr>
          <w:rFonts w:ascii="Times New Roman" w:hAnsi="Times New Roman"/>
          <w:b/>
          <w:color w:val="000000"/>
          <w:sz w:val="20"/>
          <w:u w:val="single"/>
        </w:rPr>
        <w:t>Placement Agent Agreement</w:t>
      </w:r>
      <w:r>
        <w:rPr>
          <w:rFonts w:ascii="Times New Roman" w:hAnsi="Times New Roman"/>
          <w:color w:val="000000"/>
          <w:sz w:val="20"/>
        </w:rPr>
        <w:t>” means the placement agent agreement, dated on or about the date hereof, between the Company and the Placement Agent relating to the purchase and sale of the Securities under this Agreement and the purchase and sale of Securities to other accredited investors pursuant to the terms of such Placement Agent Agreement.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1.40.    “</w:t>
      </w:r>
      <w:r>
        <w:rPr>
          <w:rFonts w:ascii="Times New Roman" w:hAnsi="Times New Roman"/>
          <w:b/>
          <w:color w:val="000000"/>
          <w:sz w:val="20"/>
          <w:u w:val="single"/>
        </w:rPr>
        <w:t>Proceeding</w:t>
      </w:r>
      <w:r>
        <w:rPr>
          <w:rFonts w:ascii="Times New Roman" w:hAnsi="Times New Roman"/>
          <w:color w:val="000000"/>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1.41.     “</w:t>
      </w:r>
      <w:r>
        <w:rPr>
          <w:rFonts w:ascii="Times New Roman" w:hAnsi="Times New Roman"/>
          <w:b/>
          <w:color w:val="000000"/>
          <w:sz w:val="20"/>
          <w:u w:val="single"/>
        </w:rPr>
        <w:t>Prospectus</w:t>
      </w:r>
      <w:r>
        <w:rPr>
          <w:rFonts w:ascii="Times New Roman" w:hAnsi="Times New Roman"/>
          <w:color w:val="000000"/>
          <w:sz w:val="20"/>
        </w:rPr>
        <w:t>” means the base prospectus filed for the Registration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1.42.     “</w:t>
      </w:r>
      <w:r>
        <w:rPr>
          <w:rFonts w:ascii="Times New Roman" w:hAnsi="Times New Roman"/>
          <w:b/>
          <w:color w:val="000000"/>
          <w:sz w:val="20"/>
          <w:u w:val="single"/>
        </w:rPr>
        <w:t>Purchaser</w:t>
      </w:r>
      <w:r>
        <w:rPr>
          <w:rFonts w:ascii="Times New Roman" w:hAnsi="Times New Roman"/>
          <w:color w:val="000000"/>
          <w:sz w:val="20"/>
        </w:rPr>
        <w:t>” shall have the meaning ascribed to such term in the preamble.</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1.43.     “</w:t>
      </w:r>
      <w:r>
        <w:rPr>
          <w:rFonts w:ascii="Times New Roman" w:hAnsi="Times New Roman"/>
          <w:b/>
          <w:color w:val="000000"/>
          <w:sz w:val="20"/>
          <w:u w:val="single"/>
        </w:rPr>
        <w:t>Purchaser Party</w:t>
      </w:r>
      <w:r>
        <w:rPr>
          <w:rFonts w:ascii="Times New Roman" w:hAnsi="Times New Roman"/>
          <w:color w:val="000000"/>
          <w:sz w:val="20"/>
        </w:rPr>
        <w:t>” shall have the meaning ascribed to such term in Section 4.7.</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1.44.    “</w:t>
      </w:r>
      <w:r>
        <w:rPr>
          <w:rFonts w:ascii="Times New Roman" w:hAnsi="Times New Roman"/>
          <w:b/>
          <w:color w:val="000000"/>
          <w:sz w:val="20"/>
          <w:u w:val="single"/>
        </w:rPr>
        <w:t>Required Approvals</w:t>
      </w:r>
      <w:r>
        <w:rPr>
          <w:rFonts w:ascii="Times New Roman" w:hAnsi="Times New Roman"/>
          <w:color w:val="000000"/>
          <w:sz w:val="20"/>
        </w:rPr>
        <w:t>” shall have the meaning ascribed to such term in Section 3.1.5.</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466" w:name="OLE_LINK561"/>
      <w:bookmarkStart w:id="467" w:name="OLE_LINK551"/>
      <w:bookmarkStart w:id="468" w:name="OLE_LINK9"/>
      <w:bookmarkStart w:id="469" w:name="OLE_LINK8"/>
      <w:bookmarkEnd w:id="466"/>
      <w:bookmarkEnd w:id="467"/>
      <w:bookmarkEnd w:id="468"/>
      <w:bookmarkEnd w:id="469"/>
      <w:r>
        <w:rPr>
          <w:rFonts w:ascii="Times New Roman" w:hAnsi="Times New Roman"/>
          <w:color w:val="000000"/>
          <w:sz w:val="20"/>
        </w:rPr>
        <w:t>1.45.    “</w:t>
      </w:r>
      <w:r>
        <w:rPr>
          <w:rFonts w:ascii="Times New Roman" w:hAnsi="Times New Roman"/>
          <w:b/>
          <w:color w:val="000000"/>
          <w:sz w:val="20"/>
          <w:u w:val="single"/>
        </w:rPr>
        <w:t>Rule 144</w:t>
      </w:r>
      <w:r>
        <w:rPr>
          <w:rFonts w:ascii="Times New Roman" w:hAnsi="Times New Roman"/>
          <w:color w:val="000000"/>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1.46.    “</w:t>
      </w:r>
      <w:r>
        <w:rPr>
          <w:rFonts w:ascii="Times New Roman" w:hAnsi="Times New Roman"/>
          <w:b/>
          <w:color w:val="000000"/>
          <w:sz w:val="20"/>
          <w:u w:val="single"/>
        </w:rPr>
        <w:t>Rule 424</w:t>
      </w:r>
      <w:r>
        <w:rPr>
          <w:rFonts w:ascii="Times New Roman" w:hAnsi="Times New Roman"/>
          <w:color w:val="000000"/>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1.47.     “</w:t>
      </w:r>
      <w:r>
        <w:rPr>
          <w:rFonts w:ascii="Times New Roman" w:hAnsi="Times New Roman"/>
          <w:b/>
          <w:color w:val="000000"/>
          <w:sz w:val="20"/>
          <w:u w:val="single"/>
        </w:rPr>
        <w:t>SEC Reports</w:t>
      </w:r>
      <w:r>
        <w:rPr>
          <w:rFonts w:ascii="Times New Roman" w:hAnsi="Times New Roman"/>
          <w:color w:val="000000"/>
          <w:sz w:val="20"/>
        </w:rPr>
        <w:t>” shall have the meaning ascribed to such term in Section 3.1.9.</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470" w:name="OLE_LINK133"/>
      <w:bookmarkEnd w:id="470"/>
      <w:r>
        <w:rPr>
          <w:rFonts w:ascii="Times New Roman" w:hAnsi="Times New Roman"/>
          <w:color w:val="000000"/>
          <w:sz w:val="20"/>
        </w:rPr>
        <w:t>1.48.     “</w:t>
      </w:r>
      <w:r>
        <w:rPr>
          <w:rFonts w:ascii="Times New Roman" w:hAnsi="Times New Roman"/>
          <w:b/>
          <w:color w:val="000000"/>
          <w:sz w:val="20"/>
          <w:u w:val="single"/>
        </w:rPr>
        <w:t>Securities</w:t>
      </w:r>
      <w:r>
        <w:rPr>
          <w:rFonts w:ascii="Times New Roman" w:hAnsi="Times New Roman"/>
          <w:color w:val="000000"/>
          <w:sz w:val="20"/>
        </w:rPr>
        <w:t>” means the Shares purchased pursuant to this Agreement.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1.49.     “</w:t>
      </w:r>
      <w:r>
        <w:rPr>
          <w:rFonts w:ascii="Times New Roman" w:hAnsi="Times New Roman"/>
          <w:b/>
          <w:color w:val="000000"/>
          <w:sz w:val="20"/>
          <w:u w:val="single"/>
        </w:rPr>
        <w:t>Securities Act</w:t>
      </w:r>
      <w:r>
        <w:rPr>
          <w:rFonts w:ascii="Times New Roman" w:hAnsi="Times New Roman"/>
          <w:color w:val="000000"/>
          <w:sz w:val="20"/>
        </w:rPr>
        <w:t>” means the Securities Act of 1933, as amended, and the rules and regulations promulgated thereunder.</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1.50.     “</w:t>
      </w:r>
      <w:r>
        <w:rPr>
          <w:rFonts w:ascii="Times New Roman" w:hAnsi="Times New Roman"/>
          <w:b/>
          <w:color w:val="000000"/>
          <w:sz w:val="20"/>
          <w:u w:val="single"/>
        </w:rPr>
        <w:t>Shares</w:t>
      </w:r>
      <w:r>
        <w:rPr>
          <w:rFonts w:ascii="Times New Roman" w:hAnsi="Times New Roman"/>
          <w:color w:val="000000"/>
          <w:sz w:val="20"/>
        </w:rPr>
        <w:t>” means the Ordinary Shares issued or issuable to each Purchaser pursuant to this Agreement.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1.51.    “</w:t>
      </w:r>
      <w:r>
        <w:rPr>
          <w:rFonts w:ascii="Times New Roman" w:hAnsi="Times New Roman"/>
          <w:b/>
          <w:color w:val="000000"/>
          <w:sz w:val="20"/>
          <w:u w:val="single"/>
        </w:rPr>
        <w:t>Registration Statement</w:t>
      </w:r>
      <w:r>
        <w:rPr>
          <w:rFonts w:ascii="Times New Roman" w:hAnsi="Times New Roman"/>
          <w:color w:val="000000"/>
          <w:sz w:val="20"/>
        </w:rPr>
        <w:t xml:space="preserve">” means the effective registration statement on Form F-1 with Commission (File No. 333-291557), including all information, documents and exhibits filed with or incorporated by reference into such registration statement, which registers the sale of the </w:t>
      </w:r>
      <w:bookmarkStart w:id="471" w:name="OLE_LINK141"/>
      <w:bookmarkEnd w:id="471"/>
      <w:r>
        <w:rPr>
          <w:rFonts w:ascii="Times New Roman" w:hAnsi="Times New Roman"/>
          <w:color w:val="000000"/>
          <w:sz w:val="20"/>
        </w:rPr>
        <w:t>Securities to the Purchasers.</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1.52.    “</w:t>
      </w:r>
      <w:r>
        <w:rPr>
          <w:rFonts w:ascii="Times New Roman" w:hAnsi="Times New Roman"/>
          <w:b/>
          <w:color w:val="000000"/>
          <w:sz w:val="20"/>
          <w:u w:val="single"/>
        </w:rPr>
        <w:t>Short Sales</w:t>
      </w:r>
      <w:r>
        <w:rPr>
          <w:rFonts w:ascii="Times New Roman" w:hAnsi="Times New Roman"/>
          <w:color w:val="000000"/>
          <w:sz w:val="20"/>
        </w:rPr>
        <w:t>” means all “short sales” as defined in Rule 200 of Regulation SHO under the Exchange Act (but shall not be deemed to include locating and/or borrowing Ordinary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bookmarkStart w:id="472" w:name="z_Hlk196651735"/>
      <w:bookmarkStart w:id="473" w:name="OLE_LINK162"/>
      <w:bookmarkStart w:id="474" w:name="OLE_LINK1611"/>
      <w:bookmarkEnd w:id="472"/>
      <w:bookmarkEnd w:id="473"/>
      <w:bookmarkEnd w:id="474"/>
      <w:r>
        <w:rPr>
          <w:rFonts w:ascii="Times New Roman" w:hAnsi="Times New Roman"/>
          <w:color w:val="000000"/>
          <w:sz w:val="20"/>
        </w:rPr>
        <w:t>1.53.    “</w:t>
      </w:r>
      <w:r>
        <w:rPr>
          <w:rFonts w:ascii="Times New Roman" w:hAnsi="Times New Roman"/>
          <w:b/>
          <w:color w:val="000000"/>
          <w:sz w:val="20"/>
          <w:u w:val="single"/>
        </w:rPr>
        <w:t>Subscription Amount</w:t>
      </w:r>
      <w:r>
        <w:rPr>
          <w:rFonts w:ascii="Times New Roman" w:hAnsi="Times New Roman"/>
          <w:color w:val="000000"/>
          <w:sz w:val="20"/>
        </w:rPr>
        <w:t>” means, as to each Purchaser, the aggregate amount to be paid for the Securities purchased hereunder as specified below such Purchaser’s name on the signature page of this Agreement and next to the heading “Subscription Amount,” in United States dollars and in immediately available funds.</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1.54.    “</w:t>
      </w:r>
      <w:r>
        <w:rPr>
          <w:rFonts w:ascii="Times New Roman" w:hAnsi="Times New Roman"/>
          <w:b/>
          <w:color w:val="000000"/>
          <w:sz w:val="20"/>
          <w:u w:val="single"/>
        </w:rPr>
        <w:t>Subsidiary</w:t>
      </w:r>
      <w:r>
        <w:rPr>
          <w:rFonts w:ascii="Times New Roman" w:hAnsi="Times New Roman"/>
          <w:color w:val="000000"/>
          <w:sz w:val="20"/>
        </w:rPr>
        <w:t>” means any subsidiary of the Company as set forth in Schedule 3.1.1 and shall, where applicable, also include any direct or indirect subsidiary of the Company formed or acquired after the date hereof.</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475" w:name="OLE_LINK196"/>
      <w:bookmarkEnd w:id="475"/>
      <w:r>
        <w:rPr>
          <w:rFonts w:ascii="Times New Roman" w:hAnsi="Times New Roman"/>
          <w:color w:val="000000"/>
          <w:sz w:val="20"/>
        </w:rPr>
        <w:t>1.55.    “</w:t>
      </w:r>
      <w:r>
        <w:rPr>
          <w:rFonts w:ascii="Times New Roman" w:hAnsi="Times New Roman"/>
          <w:b/>
          <w:color w:val="000000"/>
          <w:sz w:val="20"/>
          <w:u w:val="single"/>
        </w:rPr>
        <w:t>Trading Day</w:t>
      </w:r>
      <w:r>
        <w:rPr>
          <w:rFonts w:ascii="Times New Roman" w:hAnsi="Times New Roman"/>
          <w:color w:val="000000"/>
          <w:sz w:val="20"/>
        </w:rPr>
        <w:t>” means a Calendar Day on which the principal Trading Market is open for trading.</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1.56.    “</w:t>
      </w:r>
      <w:r>
        <w:rPr>
          <w:rFonts w:ascii="Times New Roman" w:hAnsi="Times New Roman"/>
          <w:b/>
          <w:color w:val="000000"/>
          <w:sz w:val="20"/>
          <w:u w:val="single"/>
        </w:rPr>
        <w:t>Trading Market</w:t>
      </w:r>
      <w:r>
        <w:rPr>
          <w:rFonts w:ascii="Times New Roman" w:hAnsi="Times New Roman"/>
          <w:color w:val="000000"/>
          <w:sz w:val="20"/>
        </w:rPr>
        <w:t>” means any of the following markets or exchanges on which the Ordinary Shares are listed or quoted for trading on the date in question: the NYSE American, the Nasdaq Capital Market, the Nasdaq Global Market, the Nasdaq Global Select Market, the New York Stock Exchange, the OTCQB, OTCQX, Pink Open Market (or any successors to any of the foregoing).</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1.57.    “</w:t>
      </w:r>
      <w:r>
        <w:rPr>
          <w:rFonts w:ascii="Times New Roman" w:hAnsi="Times New Roman"/>
          <w:b/>
          <w:color w:val="000000"/>
          <w:sz w:val="20"/>
          <w:u w:val="single"/>
        </w:rPr>
        <w:t>Transaction Documents</w:t>
      </w:r>
      <w:r>
        <w:rPr>
          <w:rFonts w:ascii="Times New Roman" w:hAnsi="Times New Roman"/>
          <w:color w:val="000000"/>
          <w:sz w:val="20"/>
        </w:rPr>
        <w:t xml:space="preserve">” means this Agreement, </w:t>
      </w:r>
      <w:bookmarkStart w:id="476" w:name="OLE_LINK211"/>
      <w:bookmarkStart w:id="477" w:name="z_Hlk152299791"/>
      <w:bookmarkEnd w:id="476"/>
      <w:bookmarkEnd w:id="477"/>
      <w:r>
        <w:rPr>
          <w:rFonts w:ascii="Times New Roman" w:hAnsi="Times New Roman"/>
          <w:color w:val="000000"/>
          <w:sz w:val="20"/>
        </w:rPr>
        <w:t>the Placement Agent Agreement, the Lock-Up Agreements and all exhibits and schedules thereto and hereto and any other documents or agreements executed in connection with the transactions contemplated hereunder.</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478" w:name="OLE_LINK81"/>
      <w:bookmarkStart w:id="479" w:name="OLE_LINK80"/>
      <w:bookmarkEnd w:id="478"/>
      <w:bookmarkEnd w:id="479"/>
      <w:r>
        <w:rPr>
          <w:rFonts w:ascii="Times New Roman" w:hAnsi="Times New Roman"/>
          <w:color w:val="000000"/>
          <w:sz w:val="20"/>
        </w:rPr>
        <w:t>1.58.    “</w:t>
      </w:r>
      <w:r>
        <w:rPr>
          <w:rFonts w:ascii="Times New Roman" w:hAnsi="Times New Roman"/>
          <w:b/>
          <w:color w:val="000000"/>
          <w:sz w:val="20"/>
          <w:u w:val="single"/>
        </w:rPr>
        <w:t>Transfer Agent</w:t>
      </w:r>
      <w:r>
        <w:rPr>
          <w:rFonts w:ascii="Times New Roman" w:hAnsi="Times New Roman"/>
          <w:color w:val="000000"/>
          <w:sz w:val="20"/>
        </w:rPr>
        <w:t>” means Transhare Corporation, the current transfer agent of the Company, with a mailing address of Bayside Center 1, 17755 US Highway 19 N, Suite 140, Clearwater, FL 33764 and an email address of jliu@transhare.com, and any successor transfer agent of the Company.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80" w:name="z56eac0e0bcfd4f73b781c500a34d7a2a"/>
      <w:bookmarkStart w:id="481" w:name="z56eac0e0bcfd4f73b781c500a34d7a2a"/>
      <w:bookmarkEnd w:id="481"/>
    </w:p>
    <w:tbl>
      <w:tblPr>
        <w:tblW w:w="1840" w:type="dxa"/>
        <w:jc w:val="left"/>
        <w:tblInd w:w="0" w:type="dxa"/>
        <w:tblLayout w:type="fixed"/>
        <w:tblCellMar>
          <w:top w:w="0" w:type="dxa"/>
          <w:left w:w="0" w:type="dxa"/>
          <w:bottom w:w="0" w:type="dxa"/>
          <w:right w:w="0" w:type="dxa"/>
        </w:tblCellMar>
      </w:tblPr>
      <w:tblGrid>
        <w:gridCol w:w="215"/>
        <w:gridCol w:w="1625"/>
      </w:tblGrid>
      <w:tr>
        <w:trPr/>
        <w:tc>
          <w:tcPr>
            <w:tcW w:w="215" w:type="dxa"/>
            <w:tcBorders/>
            <w:vAlign w:val="center"/>
          </w:tcPr>
          <w:p>
            <w:pPr>
              <w:pStyle w:val="TableContents"/>
              <w:bidi w:val="0"/>
              <w:spacing w:before="0" w:after="0"/>
              <w:jc w:val="left"/>
              <w:rPr/>
            </w:pPr>
            <w:r>
              <w:rPr/>
              <w:t>2.</w:t>
            </w:r>
          </w:p>
        </w:tc>
        <w:tc>
          <w:tcPr>
            <w:tcW w:w="1625" w:type="dxa"/>
            <w:tcBorders/>
            <w:vAlign w:val="center"/>
          </w:tcPr>
          <w:p>
            <w:pPr>
              <w:pStyle w:val="TableContents"/>
              <w:bidi w:val="0"/>
              <w:spacing w:before="0" w:after="0"/>
              <w:jc w:val="left"/>
              <w:rPr>
                <w:sz w:val="24"/>
              </w:rPr>
            </w:pPr>
            <w:r>
              <w:rPr>
                <w:b/>
                <w:sz w:val="20"/>
                <w:u w:val="single"/>
              </w:rPr>
              <w:t>Purchase and Sale</w:t>
            </w:r>
            <w:r>
              <w:rPr>
                <w:sz w:val="20"/>
              </w:rPr>
              <w:t>.</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482" w:name="OLE_LINK213"/>
      <w:bookmarkStart w:id="483" w:name="z_Ref186208518"/>
      <w:bookmarkStart w:id="484" w:name="z_Ref174816899"/>
      <w:bookmarkEnd w:id="482"/>
      <w:bookmarkEnd w:id="483"/>
      <w:bookmarkEnd w:id="484"/>
      <w:r>
        <w:rPr>
          <w:rFonts w:ascii="Times New Roman" w:hAnsi="Times New Roman"/>
          <w:color w:val="000000"/>
          <w:sz w:val="20"/>
        </w:rPr>
        <w:t xml:space="preserve">2.1.      </w:t>
      </w:r>
      <w:r>
        <w:rPr>
          <w:rFonts w:ascii="Times New Roman" w:hAnsi="Times New Roman"/>
          <w:b/>
          <w:color w:val="000000"/>
          <w:sz w:val="20"/>
          <w:u w:val="single"/>
        </w:rPr>
        <w:t>Closing</w:t>
      </w:r>
      <w:r>
        <w:rPr>
          <w:rFonts w:ascii="Times New Roman" w:hAnsi="Times New Roman"/>
          <w:color w:val="000000"/>
          <w:sz w:val="20"/>
        </w:rPr>
        <w:t xml:space="preserve">.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approximately </w:t>
      </w:r>
      <w:bookmarkStart w:id="485" w:name="OLE_LINK461"/>
      <w:bookmarkStart w:id="486" w:name="z_Hlk127736319"/>
      <w:bookmarkEnd w:id="485"/>
      <w:bookmarkEnd w:id="486"/>
      <w:r>
        <w:rPr>
          <w:rFonts w:ascii="Times New Roman" w:hAnsi="Times New Roman"/>
          <w:color w:val="000000"/>
          <w:sz w:val="20"/>
        </w:rPr>
        <w:t xml:space="preserve">$[●] million of Shares. </w:t>
      </w:r>
      <w:bookmarkStart w:id="487" w:name="OLE_LINK228"/>
      <w:bookmarkEnd w:id="487"/>
      <w:r>
        <w:rPr>
          <w:rFonts w:ascii="Times New Roman" w:hAnsi="Times New Roman"/>
          <w:color w:val="000000"/>
          <w:sz w:val="20"/>
        </w:rPr>
        <w:t xml:space="preserve">Each Purchaser shall </w:t>
      </w:r>
      <w:bookmarkStart w:id="488" w:name="OLE_LINK2291"/>
      <w:bookmarkEnd w:id="488"/>
      <w:r>
        <w:rPr>
          <w:rFonts w:ascii="Times New Roman" w:hAnsi="Times New Roman"/>
          <w:color w:val="000000"/>
          <w:sz w:val="20"/>
        </w:rPr>
        <w:t>make such Purchaser’s Subscription Amount as set forth on the signature page hereto executed by such Purchaser available to be delivered to the Company (or its designee), and the Company shall deliver to each Purchaser its respective Securities, as determined pursuant to Section 2.2.1, and the Company and each Purchaser shall deliver the other items set forth in Section 2.2.2 deliverable at the Closing. Upon satisfaction of the covenants and conditions set forth in Sections 2.3.1 and 2.3.2, the Closing shall occur at the offices of counsel to the Placement Agent or such other location (or remotely by electronic means) as the parties shall mutually agree. Unless otherwise directed by the Placement Agent, settlement of the Shares shall occur via “Delivery Versus Payment” (“</w:t>
      </w:r>
      <w:r>
        <w:rPr>
          <w:rFonts w:ascii="Times New Roman" w:hAnsi="Times New Roman"/>
          <w:b/>
          <w:color w:val="000000"/>
          <w:sz w:val="20"/>
          <w:u w:val="single"/>
        </w:rPr>
        <w:t>DVP</w:t>
      </w:r>
      <w:r>
        <w:rPr>
          <w:rFonts w:ascii="Times New Roman" w:hAnsi="Times New Roman"/>
          <w:color w:val="000000"/>
          <w:sz w:val="20"/>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2.2.            </w:t>
      </w:r>
      <w:r>
        <w:rPr>
          <w:rFonts w:ascii="Times New Roman" w:hAnsi="Times New Roman"/>
          <w:b/>
          <w:color w:val="000000"/>
          <w:sz w:val="20"/>
          <w:u w:val="single"/>
        </w:rPr>
        <w:t>Deliveries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620"/>
        <w:jc w:val="both"/>
        <w:rPr>
          <w:rFonts w:ascii="Times New Roman" w:hAnsi="Times New Roman"/>
          <w:color w:val="000000"/>
          <w:sz w:val="20"/>
        </w:rPr>
      </w:pPr>
      <w:bookmarkStart w:id="489" w:name="z_Ref151289251"/>
      <w:bookmarkEnd w:id="489"/>
      <w:r>
        <w:rPr>
          <w:rFonts w:ascii="Times New Roman" w:hAnsi="Times New Roman"/>
          <w:color w:val="000000"/>
          <w:sz w:val="20"/>
        </w:rPr>
        <w:t>2.2.1.          The Company shall deliver or cause to be delivered to each Purchaser or the Placement Agent, as appropriate, the following at the times stated:</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2.2.1.1 on the date hereof:</w:t>
      </w:r>
    </w:p>
    <w:p>
      <w:pPr>
        <w:pStyle w:val="TextBody"/>
        <w:bidi w:val="0"/>
        <w:spacing w:before="0" w:after="0"/>
        <w:jc w:val="left"/>
        <w:rPr/>
      </w:pPr>
      <w:r>
        <w:rPr/>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2.2.1.1.1.     this Agreement duly executed by the Company.</w:t>
      </w:r>
      <w:bookmarkStart w:id="490" w:name="OLE_LINK112"/>
      <w:bookmarkStart w:id="491" w:name="z_Hlk151272120"/>
      <w:bookmarkStart w:id="492" w:name="OLE_LINK1081"/>
      <w:bookmarkStart w:id="493" w:name="OLE_LINK1071"/>
      <w:bookmarkEnd w:id="490"/>
      <w:bookmarkEnd w:id="491"/>
      <w:bookmarkEnd w:id="492"/>
      <w:bookmarkEnd w:id="493"/>
    </w:p>
    <w:p>
      <w:pPr>
        <w:pStyle w:val="TextBody"/>
        <w:bidi w:val="0"/>
        <w:spacing w:before="0" w:after="0"/>
        <w:jc w:val="left"/>
        <w:rPr/>
      </w:pPr>
      <w:r>
        <w:rPr/>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2.2.1.1.2.     the Placement Agent Agreement, duly executed by the Company.</w:t>
      </w:r>
    </w:p>
    <w:p>
      <w:pPr>
        <w:pStyle w:val="TextBody"/>
        <w:bidi w:val="0"/>
        <w:spacing w:before="0" w:after="0"/>
        <w:jc w:val="left"/>
        <w:rPr/>
      </w:pPr>
      <w:r>
        <w:rPr/>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2.2.1.1.3.     a certificate executed by the Chief Financial Officer of the Company in customary form reasonably satisfactory to the Placement Agent and its counsel.</w:t>
      </w:r>
    </w:p>
    <w:p>
      <w:pPr>
        <w:pStyle w:val="TextBody"/>
        <w:bidi w:val="0"/>
        <w:spacing w:before="0" w:after="0"/>
        <w:jc w:val="left"/>
        <w:rPr/>
      </w:pPr>
      <w:r>
        <w:rPr/>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2.2.1.1.4.     the Lock-Up Agreements.</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bookmarkStart w:id="494" w:name="OLE_LINK346"/>
      <w:bookmarkStart w:id="495" w:name="z_Hlk126508271"/>
      <w:bookmarkEnd w:id="494"/>
      <w:bookmarkEnd w:id="495"/>
      <w:r>
        <w:rPr>
          <w:rFonts w:ascii="Times New Roman" w:hAnsi="Times New Roman"/>
          <w:color w:val="000000"/>
          <w:sz w:val="20"/>
        </w:rPr>
        <w:t>2.2.1.2 on or prior to the Closing Date:</w:t>
      </w:r>
    </w:p>
    <w:p>
      <w:pPr>
        <w:pStyle w:val="TextBody"/>
        <w:bidi w:val="0"/>
        <w:spacing w:before="0" w:after="0"/>
        <w:jc w:val="left"/>
        <w:rPr/>
      </w:pPr>
      <w:r>
        <w:rPr/>
      </w:r>
    </w:p>
    <w:p>
      <w:pPr>
        <w:pStyle w:val="TextBody"/>
        <w:bidi w:val="0"/>
        <w:spacing w:before="0" w:after="0"/>
        <w:ind w:left="2880" w:right="0" w:hanging="0"/>
        <w:jc w:val="both"/>
        <w:rPr>
          <w:rFonts w:ascii="Times New Roman" w:hAnsi="Times New Roman"/>
          <w:color w:val="000000"/>
          <w:sz w:val="20"/>
        </w:rPr>
      </w:pPr>
      <w:bookmarkStart w:id="496" w:name="OLE_LINK115"/>
      <w:bookmarkStart w:id="497" w:name="OLE_LINK114"/>
      <w:bookmarkEnd w:id="496"/>
      <w:bookmarkEnd w:id="497"/>
      <w:r>
        <w:rPr>
          <w:rFonts w:ascii="Times New Roman" w:hAnsi="Times New Roman"/>
          <w:color w:val="000000"/>
          <w:sz w:val="20"/>
        </w:rPr>
        <w:t>2.2.1.2.1.    legal opinions of Company Counsel and Foreign Counsel, addressed to the Placement Agent and the Purchasers, in form and substance reasonably acceptable to the Placement Agent and the Purchasers.</w:t>
      </w:r>
    </w:p>
    <w:p>
      <w:pPr>
        <w:pStyle w:val="TextBody"/>
        <w:bidi w:val="0"/>
        <w:spacing w:before="0" w:after="0"/>
        <w:jc w:val="left"/>
        <w:rPr/>
      </w:pPr>
      <w:r>
        <w:rPr/>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2.2.1.2.2.     the Company’s wire instructions, on Company letterhead and executed by the Chief Executive Officer or Chief Financial Officer.</w:t>
      </w:r>
    </w:p>
    <w:p>
      <w:pPr>
        <w:pStyle w:val="TextBody"/>
        <w:bidi w:val="0"/>
        <w:spacing w:before="0" w:after="0"/>
        <w:jc w:val="left"/>
        <w:rPr/>
      </w:pPr>
      <w:r>
        <w:rPr/>
      </w:r>
    </w:p>
    <w:p>
      <w:pPr>
        <w:pStyle w:val="TextBody"/>
        <w:bidi w:val="0"/>
        <w:spacing w:before="0" w:after="0"/>
        <w:ind w:left="2880" w:right="0" w:hanging="0"/>
        <w:jc w:val="both"/>
        <w:rPr>
          <w:rFonts w:ascii="Times New Roman" w:hAnsi="Times New Roman"/>
          <w:color w:val="000000"/>
          <w:sz w:val="20"/>
        </w:rPr>
      </w:pPr>
      <w:bookmarkStart w:id="498" w:name="OLE_LINK246"/>
      <w:bookmarkStart w:id="499" w:name="OLE_LINK231"/>
      <w:bookmarkEnd w:id="498"/>
      <w:bookmarkEnd w:id="499"/>
      <w:r>
        <w:rPr>
          <w:rFonts w:ascii="Times New Roman" w:hAnsi="Times New Roman"/>
          <w:color w:val="000000"/>
          <w:sz w:val="20"/>
        </w:rPr>
        <w:t>2.2.1.2.3.     a duly executed and delivered Officers’ Certificate, in customary form reasonably satisfactory to the Placement Agent and its counsel.</w:t>
      </w:r>
    </w:p>
    <w:p>
      <w:pPr>
        <w:pStyle w:val="TextBody"/>
        <w:bidi w:val="0"/>
        <w:spacing w:before="0" w:after="0"/>
        <w:jc w:val="left"/>
        <w:rPr/>
      </w:pPr>
      <w:r>
        <w:rPr/>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2.2.1.2.4.     a cold comfort letter from the Company’s auditor, addressed to the Placement Agent in form and substance reasonably satisfactory in all material respects.</w:t>
      </w:r>
    </w:p>
    <w:p>
      <w:pPr>
        <w:pStyle w:val="TextBody"/>
        <w:bidi w:val="0"/>
        <w:spacing w:before="0" w:after="0"/>
        <w:jc w:val="left"/>
        <w:rPr/>
      </w:pPr>
      <w:r>
        <w:rPr/>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2.2.1.2.5.     the Prospectus and Final Prospectus (which may be delivered in accordance with Rule 172 under the Securities Act).</w:t>
      </w:r>
    </w:p>
    <w:p>
      <w:pPr>
        <w:pStyle w:val="TextBody"/>
        <w:bidi w:val="0"/>
        <w:spacing w:before="0" w:after="0"/>
        <w:jc w:val="left"/>
        <w:rPr/>
      </w:pPr>
      <w:r>
        <w:rPr/>
      </w:r>
    </w:p>
    <w:p>
      <w:pPr>
        <w:pStyle w:val="TextBody"/>
        <w:bidi w:val="0"/>
        <w:spacing w:before="0" w:after="0"/>
        <w:ind w:left="0" w:right="0" w:firstLine="1620"/>
        <w:jc w:val="both"/>
        <w:rPr>
          <w:rFonts w:ascii="Times New Roman" w:hAnsi="Times New Roman"/>
          <w:color w:val="000000"/>
          <w:sz w:val="20"/>
        </w:rPr>
      </w:pPr>
      <w:bookmarkStart w:id="500" w:name="OLE_LINK345"/>
      <w:bookmarkStart w:id="501" w:name="z_Ref151290328"/>
      <w:bookmarkEnd w:id="500"/>
      <w:bookmarkEnd w:id="501"/>
      <w:r>
        <w:rPr>
          <w:rFonts w:ascii="Times New Roman" w:hAnsi="Times New Roman"/>
          <w:color w:val="000000"/>
          <w:sz w:val="20"/>
        </w:rPr>
        <w:t>2.2.2.    Each Purchaser, and the Placement Agent, as applicable, shall deliver or cause to be delivered to the Company the following at the times stated:</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2.2.2.1          on the date hereof:</w:t>
      </w:r>
    </w:p>
    <w:p>
      <w:pPr>
        <w:pStyle w:val="TextBody"/>
        <w:bidi w:val="0"/>
        <w:spacing w:before="0" w:after="0"/>
        <w:jc w:val="left"/>
        <w:rPr/>
      </w:pPr>
      <w:r>
        <w:rPr/>
      </w:r>
    </w:p>
    <w:p>
      <w:pPr>
        <w:pStyle w:val="TextBody"/>
        <w:bidi w:val="0"/>
        <w:spacing w:before="0" w:after="0"/>
        <w:ind w:left="2880" w:right="0" w:hanging="0"/>
        <w:jc w:val="both"/>
        <w:rPr>
          <w:color w:val="000000"/>
        </w:rPr>
      </w:pPr>
      <w:r>
        <w:rPr>
          <w:color w:val="000000"/>
        </w:rPr>
        <w:t> </w:t>
      </w:r>
      <w:r>
        <w:rPr>
          <w:rFonts w:ascii="Times New Roman" w:hAnsi="Times New Roman"/>
          <w:color w:val="000000"/>
          <w:sz w:val="20"/>
        </w:rPr>
        <w:t>2.2.2.1.1.    this Agreement duly executed by such Purchaser.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2.2.2.1.2.     the Placement Agent Agreement, duly executed by the Placement Agent.</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2.2.2.2    on or prior to the Closing Date:</w:t>
      </w:r>
    </w:p>
    <w:p>
      <w:pPr>
        <w:pStyle w:val="TextBody"/>
        <w:bidi w:val="0"/>
        <w:spacing w:before="0" w:after="0"/>
        <w:jc w:val="left"/>
        <w:rPr/>
      </w:pPr>
      <w:r>
        <w:rPr/>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2.2.2.2.1.     such Purchaser’s Subscription Amount shall be made available for DVP settlement with the Company or its designee.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bookmarkStart w:id="502" w:name="z_Ref151290347"/>
      <w:bookmarkEnd w:id="502"/>
      <w:r>
        <w:rPr>
          <w:rFonts w:ascii="Times New Roman" w:hAnsi="Times New Roman"/>
          <w:color w:val="000000"/>
          <w:sz w:val="20"/>
        </w:rPr>
        <w:t xml:space="preserve">2.3.           </w:t>
      </w:r>
      <w:r>
        <w:rPr>
          <w:rFonts w:ascii="Times New Roman" w:hAnsi="Times New Roman"/>
          <w:b/>
          <w:color w:val="000000"/>
          <w:sz w:val="20"/>
          <w:u w:val="single"/>
        </w:rPr>
        <w:t>Closing Conditions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0" w:right="0" w:firstLine="1620"/>
        <w:jc w:val="both"/>
        <w:rPr>
          <w:rFonts w:ascii="Times New Roman" w:hAnsi="Times New Roman"/>
          <w:color w:val="000000"/>
          <w:sz w:val="20"/>
        </w:rPr>
      </w:pPr>
      <w:bookmarkStart w:id="503" w:name="z_Ref151290415"/>
      <w:bookmarkEnd w:id="503"/>
      <w:r>
        <w:rPr>
          <w:rFonts w:ascii="Times New Roman" w:hAnsi="Times New Roman"/>
          <w:color w:val="000000"/>
          <w:sz w:val="20"/>
        </w:rPr>
        <w:t>2.3.1. The obligations of the Company hereunder in connection with the Closing are subject to each of the following conditions being met:</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2.3.1.1 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2.3.1.2  all obligations, covenants and agreements of each Purchaser required to be performed at or prior to the Closing Date shall have been performed.</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2.3.1.3  the delivery by each Purchaser of the items set forth in Section 2.2.2 of this Agreement.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bookmarkStart w:id="504" w:name="z_Ref151290402"/>
      <w:bookmarkEnd w:id="504"/>
      <w:r>
        <w:rPr>
          <w:rFonts w:ascii="Times New Roman" w:hAnsi="Times New Roman"/>
          <w:color w:val="000000"/>
          <w:sz w:val="20"/>
        </w:rPr>
        <w:t>2.3.2.    The respective obligations of the Purchasers hereunder in connection with the Closing are subject to each of the following conditions being met:</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2.3.2.1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2.3.2.2  all obligations, covenants and agreements of the Company required to be performed at or prior to the Closing Date shall have been performed.</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2.3.2.3  the delivery by the Company of the items set forth in Section 2.2.1 of this Agreement.</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2.3.2.4   there shall have been no Material Adverse Effect with respect to the Company since the date 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color w:val="000000"/>
          <w:sz w:val="20"/>
        </w:rPr>
        <w:t>2.3.2.5 from the date hereof to the Closing Date, trading in the Ordinary Shares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05" w:name="ze0a70f3f2309410fb2b2f238294177bd"/>
      <w:bookmarkStart w:id="506" w:name="ze0a70f3f2309410fb2b2f238294177bd"/>
      <w:bookmarkEnd w:id="506"/>
    </w:p>
    <w:tbl>
      <w:tblPr>
        <w:tblW w:w="3025" w:type="dxa"/>
        <w:jc w:val="left"/>
        <w:tblInd w:w="0" w:type="dxa"/>
        <w:tblLayout w:type="fixed"/>
        <w:tblCellMar>
          <w:top w:w="0" w:type="dxa"/>
          <w:left w:w="0" w:type="dxa"/>
          <w:bottom w:w="0" w:type="dxa"/>
          <w:right w:w="0" w:type="dxa"/>
        </w:tblCellMar>
      </w:tblPr>
      <w:tblGrid>
        <w:gridCol w:w="215"/>
        <w:gridCol w:w="2810"/>
      </w:tblGrid>
      <w:tr>
        <w:trPr/>
        <w:tc>
          <w:tcPr>
            <w:tcW w:w="215" w:type="dxa"/>
            <w:tcBorders/>
            <w:vAlign w:val="center"/>
          </w:tcPr>
          <w:p>
            <w:pPr>
              <w:pStyle w:val="TableContents"/>
              <w:bidi w:val="0"/>
              <w:spacing w:before="0" w:after="283"/>
              <w:jc w:val="left"/>
              <w:rPr/>
            </w:pPr>
            <w:r>
              <w:rPr/>
              <w:t>3.</w:t>
            </w:r>
          </w:p>
        </w:tc>
        <w:tc>
          <w:tcPr>
            <w:tcW w:w="2810" w:type="dxa"/>
            <w:tcBorders/>
            <w:vAlign w:val="center"/>
          </w:tcPr>
          <w:p>
            <w:pPr>
              <w:pStyle w:val="TableContents"/>
              <w:bidi w:val="0"/>
              <w:spacing w:before="0" w:after="0"/>
              <w:jc w:val="both"/>
              <w:rPr>
                <w:sz w:val="24"/>
              </w:rPr>
            </w:pPr>
            <w:r>
              <w:rPr>
                <w:b/>
                <w:sz w:val="20"/>
                <w:u w:val="single"/>
              </w:rPr>
              <w:t>Representations and Warranties</w:t>
            </w:r>
            <w:r>
              <w:rPr>
                <w:sz w:val="20"/>
              </w:rPr>
              <w:t>.</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507" w:name="OLE_LINK119"/>
      <w:bookmarkStart w:id="508" w:name="OLE_LINK118"/>
      <w:bookmarkStart w:id="509" w:name="z_Ref151291107"/>
      <w:bookmarkEnd w:id="507"/>
      <w:bookmarkEnd w:id="508"/>
      <w:bookmarkEnd w:id="509"/>
      <w:r>
        <w:rPr>
          <w:rFonts w:ascii="Times New Roman" w:hAnsi="Times New Roman"/>
          <w:color w:val="000000"/>
          <w:sz w:val="20"/>
        </w:rPr>
        <w:t xml:space="preserve">3.1.            </w:t>
      </w:r>
      <w:r>
        <w:rPr>
          <w:rFonts w:ascii="Times New Roman" w:hAnsi="Times New Roman"/>
          <w:b/>
          <w:color w:val="000000"/>
          <w:sz w:val="20"/>
          <w:u w:val="single"/>
        </w:rPr>
        <w:t>Representations and Warranties of the Company</w:t>
      </w:r>
      <w:r>
        <w:rPr>
          <w:rFonts w:ascii="Times New Roman" w:hAnsi="Times New Roman"/>
          <w:color w:val="000000"/>
          <w:sz w:val="20"/>
        </w:rPr>
        <w:t>. The Company hereby makes the following representations and warranties to each Purchaser:</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bookmarkStart w:id="510" w:name="OLE_LINK1171"/>
      <w:bookmarkStart w:id="511" w:name="OLE_LINK116"/>
      <w:bookmarkStart w:id="512" w:name="z_Ref151299377"/>
      <w:bookmarkEnd w:id="510"/>
      <w:bookmarkEnd w:id="511"/>
      <w:bookmarkEnd w:id="512"/>
      <w:r>
        <w:rPr>
          <w:rFonts w:ascii="Times New Roman" w:hAnsi="Times New Roman"/>
          <w:color w:val="000000"/>
          <w:sz w:val="20"/>
        </w:rPr>
        <w:t xml:space="preserve">3.1.1.   </w:t>
      </w:r>
      <w:r>
        <w:rPr>
          <w:rFonts w:ascii="Times New Roman" w:hAnsi="Times New Roman"/>
          <w:b/>
          <w:color w:val="000000"/>
          <w:sz w:val="20"/>
          <w:u w:val="single"/>
        </w:rPr>
        <w:t>Subsidiaries</w:t>
      </w:r>
      <w:r>
        <w:rPr>
          <w:rFonts w:ascii="Times New Roman" w:hAnsi="Times New Roman"/>
          <w:color w:val="000000"/>
          <w:sz w:val="20"/>
        </w:rPr>
        <w:t>. All of the direct and indirect subsidiaries of the Company are set forth on Schedule 3.1.1. The Company owns, directly or indirectly, all of the</w:t>
      </w:r>
      <w:bookmarkStart w:id="513" w:name="OLE_LINK351"/>
      <w:bookmarkStart w:id="514" w:name="z_Hlk123812440"/>
      <w:bookmarkEnd w:id="513"/>
      <w:bookmarkEnd w:id="514"/>
      <w:r>
        <w:rPr>
          <w:rFonts w:ascii="Times New Roman" w:hAnsi="Times New Roman"/>
          <w:color w:val="000000"/>
          <w:sz w:val="20"/>
        </w:rPr>
        <w:t xml:space="preserve"> share capital or other equity interests of each Subsidiary free and clear of any Liens, and all of the issued and outstanding shares of share capital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bookmarkStart w:id="515" w:name="z_Ref151289590"/>
      <w:bookmarkEnd w:id="515"/>
      <w:r>
        <w:rPr>
          <w:rFonts w:ascii="Times New Roman" w:hAnsi="Times New Roman"/>
          <w:color w:val="000000"/>
          <w:sz w:val="20"/>
        </w:rPr>
        <w:t xml:space="preserve">3.1.2.   </w:t>
      </w:r>
      <w:r>
        <w:rPr>
          <w:rFonts w:ascii="Times New Roman" w:hAnsi="Times New Roman"/>
          <w:b/>
          <w:color w:val="000000"/>
          <w:sz w:val="20"/>
          <w:u w:val="single"/>
        </w:rPr>
        <w:t>Organization and Qualification</w:t>
      </w:r>
      <w:r>
        <w:rPr>
          <w:rFonts w:ascii="Times New Roman" w:hAnsi="Times New Roman"/>
          <w:color w:val="000000"/>
          <w:sz w:val="20"/>
        </w:rPr>
        <w:t>. Each of the Company and its operating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hAnsi="Times New Roman"/>
          <w:b/>
          <w:color w:val="000000"/>
          <w:sz w:val="20"/>
          <w:u w:val="single"/>
        </w:rPr>
        <w:t>Material Adverse Effect</w:t>
      </w:r>
      <w:r>
        <w:rPr>
          <w:rFonts w:ascii="Times New Roman" w:hAnsi="Times New Roman"/>
          <w:color w:val="000000"/>
          <w:sz w:val="20"/>
        </w:rPr>
        <w:t>”; provided, however, that “</w:t>
      </w:r>
      <w:r>
        <w:rPr>
          <w:rFonts w:ascii="Times New Roman" w:hAnsi="Times New Roman"/>
          <w:b/>
          <w:color w:val="000000"/>
          <w:sz w:val="20"/>
          <w:u w:val="single"/>
        </w:rPr>
        <w:t>Material Adverse Effect</w:t>
      </w:r>
      <w:r>
        <w:rPr>
          <w:rFonts w:ascii="Times New Roman" w:hAnsi="Times New Roman"/>
          <w:color w:val="000000"/>
          <w:sz w:val="20"/>
        </w:rPr>
        <w:t>” shall not include any event, occurrence, fact, condition or change, directly or indirectly, arising out of or attributable to: (i) the announcement, pendency or completion of the transactions contemplated by the Transaction Documents, (ii) any action required or permitted by the Transaction Documents or any action taken (or omitted to be taken) with the written consent of or at the written request of Purchaser. or (iii) a change in the market price or trading volume of the Ordinary Shares alone. As to all Company and Subsidiary power, authority and qualification, no Proceeding has been instituted in any such jurisdiction revoking, limiting or curtailing or seeking to revoke, limit or curtail such power and authority or qualification.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3.1.3.    </w:t>
      </w:r>
      <w:r>
        <w:rPr>
          <w:rFonts w:ascii="Times New Roman" w:hAnsi="Times New Roman"/>
          <w:b/>
          <w:color w:val="000000"/>
          <w:sz w:val="20"/>
          <w:u w:val="single"/>
        </w:rPr>
        <w:t>Authorization; Enforcement</w:t>
      </w:r>
      <w:r>
        <w:rPr>
          <w:rFonts w:ascii="Times New Roman" w:hAnsi="Times New Roman"/>
          <w:color w:val="000000"/>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legal,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3.1.4.   </w:t>
      </w:r>
      <w:r>
        <w:rPr>
          <w:rFonts w:ascii="Times New Roman" w:hAnsi="Times New Roman"/>
          <w:b/>
          <w:color w:val="000000"/>
          <w:sz w:val="20"/>
          <w:u w:val="single"/>
        </w:rPr>
        <w:t>No Conflicts</w:t>
      </w:r>
      <w:r>
        <w:rPr>
          <w:rFonts w:ascii="Times New Roman" w:hAnsi="Times New Roman"/>
          <w:color w:val="000000"/>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bookmarkStart w:id="516" w:name="z_Ref151289885"/>
      <w:bookmarkEnd w:id="516"/>
      <w:r>
        <w:rPr>
          <w:rFonts w:ascii="Times New Roman" w:hAnsi="Times New Roman"/>
          <w:color w:val="000000"/>
          <w:sz w:val="20"/>
        </w:rPr>
        <w:t xml:space="preserve">3.1.5.   </w:t>
      </w:r>
      <w:r>
        <w:rPr>
          <w:rFonts w:ascii="Times New Roman" w:hAnsi="Times New Roman"/>
          <w:b/>
          <w:color w:val="000000"/>
          <w:sz w:val="20"/>
          <w:u w:val="single"/>
        </w:rPr>
        <w:t>Filings, Consents and Approvals</w:t>
      </w:r>
      <w:r>
        <w:rPr>
          <w:rFonts w:ascii="Times New Roman" w:hAnsi="Times New Roman"/>
          <w:color w:val="000000"/>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4.3 of this Agreement, (ii) the filing with the Commission of the Final Prospectus to the Registration Statement, (iii) the notice and/or application(s) to each applicable Trading Market for the issuance and sale of the Securities and the listing of the Shares for trading thereon in the time and manner required thereby, and (iv) such other filings as are required to be made under applicable state securities laws (the “</w:t>
      </w:r>
      <w:r>
        <w:rPr>
          <w:rFonts w:ascii="Times New Roman" w:hAnsi="Times New Roman"/>
          <w:b/>
          <w:color w:val="000000"/>
          <w:sz w:val="20"/>
          <w:u w:val="single"/>
        </w:rPr>
        <w:t>Required Approvals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3.1.6.   </w:t>
      </w:r>
      <w:r>
        <w:rPr>
          <w:rFonts w:ascii="Times New Roman" w:hAnsi="Times New Roman"/>
          <w:b/>
          <w:color w:val="000000"/>
          <w:sz w:val="20"/>
          <w:u w:val="single"/>
        </w:rPr>
        <w:t>Issuance of the Securities; Registration</w:t>
      </w:r>
      <w:r>
        <w:rPr>
          <w:rFonts w:ascii="Times New Roman" w:hAnsi="Times New Roman"/>
          <w:color w:val="000000"/>
          <w:sz w:val="20"/>
        </w:rPr>
        <w:t>. The Securities are duly authorized and, when issued and paid for in accordance with the applicable Transaction Documents, will be duly and validly issued, fully paid and nonassessable (which means that no further sums are required to be paid by the holders thereof in connection with the issue thereof), free and clear of all Liens imposed by the Company other than restrictions on transfer provided for in the Transaction Documents and applicable law. The Securities are being issued and sold pursuant to the effective Registration Statement and the Final Prospectus. As of the date hereof, the Company has reserved and the Company shall continue to reserve and keep available at all times, free of preemptive rights, a sufficient number of Ordinary Shares for the purpose of enabling the Company to issue Shares pursuant to this Agreement.</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3.1.7.   </w:t>
      </w:r>
      <w:r>
        <w:rPr>
          <w:rFonts w:ascii="Times New Roman" w:hAnsi="Times New Roman"/>
          <w:b/>
          <w:color w:val="000000"/>
          <w:sz w:val="20"/>
          <w:u w:val="single"/>
        </w:rPr>
        <w:t>Registration Statement</w:t>
      </w:r>
      <w:r>
        <w:rPr>
          <w:rFonts w:ascii="Times New Roman" w:hAnsi="Times New Roman"/>
          <w:color w:val="000000"/>
          <w:sz w:val="20"/>
        </w:rPr>
        <w:t>. The Company has prepared and filed the Registration Statement in conformity with the requirements of the Securities Act, which became effective on December 31, 2025 and a post-effective amendment to the Registration Statement, which became effective on [●],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Final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in light of the circumstances under which they were made,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light of the circumstances under which they were made, not misleading. The Company was at the time of the filing of the Registration Statement eligible to use Form F-1. The Company is eligible to use Form F-1 under the Securities Act and it meets the requirements set forth in General Instruction I.A of Form F-1.</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bookmarkStart w:id="517" w:name="OLE_LINK171"/>
      <w:bookmarkEnd w:id="517"/>
      <w:r>
        <w:rPr>
          <w:rFonts w:ascii="Times New Roman" w:hAnsi="Times New Roman"/>
          <w:color w:val="000000"/>
          <w:sz w:val="20"/>
        </w:rPr>
        <w:t xml:space="preserve">3.1.8.   </w:t>
      </w:r>
      <w:r>
        <w:rPr>
          <w:rFonts w:ascii="Times New Roman" w:hAnsi="Times New Roman"/>
          <w:b/>
          <w:color w:val="000000"/>
          <w:sz w:val="20"/>
          <w:u w:val="single"/>
        </w:rPr>
        <w:t>Capitalization</w:t>
      </w:r>
      <w:r>
        <w:rPr>
          <w:rFonts w:ascii="Times New Roman" w:hAnsi="Times New Roman"/>
          <w:color w:val="000000"/>
          <w:sz w:val="20"/>
        </w:rPr>
        <w:t>. The capitalization of the Company as of the date hereof is as set forth on Schedule 3.1.8, which Schedule 3.1.8 shall also include the number of Ordinary Shares owned beneficially, and of record, by Affiliates of the Company as of the date hereof. Other than as stated in Schedule 3.1.8, the Company has not issued any share capital since its most recently filed periodic report under the Exchange Act, other than pursuant to the exercise of employee share options under the Company’s share option plans, the issuance of Ordinary Shares to employees pursuant to the Company’s employee share purchase plans and pursuant to the conversion and/or exercise of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Schedule 3.1.8, or pursuant to this Agreement,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share capital of any Subsidiary, or contracts, commitments, understandings or arrangements by which the Company or any Subsidiary is or may become bound to issue additional Ordinary Shares or Ordinary Share Equivalents or share capital of any Subsidiary. The issuance and sale of the Securities will not obligate the Company or any Subsidiary to issue Ordinary Shares or other securities to any Person (other than the Purchasers). Except as set forth in Schedule 3.1.8,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Schedule 3.1.8,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stock” plans or agreements or any similar plan or agreement. All of the outstanding shares of share capital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shareholder or the Board of Directors is required for the issuance and sale of the Securities. Except as set forth in Schedule 3.1.8, there are no shareholders’ agreements, voting agreements or other similar agreements with respect to the Company’s share capital to which the Company is a party or, to the knowledge of the Company, between or among any of the Company’s shareholders.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bookmarkStart w:id="518" w:name="z_Ref151289426"/>
      <w:bookmarkEnd w:id="518"/>
      <w:r>
        <w:rPr>
          <w:rFonts w:ascii="Times New Roman" w:hAnsi="Times New Roman"/>
          <w:color w:val="000000"/>
          <w:sz w:val="20"/>
        </w:rPr>
        <w:t xml:space="preserve">3.1.9.   </w:t>
      </w:r>
      <w:r>
        <w:rPr>
          <w:rFonts w:ascii="Times New Roman" w:hAnsi="Times New Roman"/>
          <w:b/>
          <w:color w:val="000000"/>
          <w:sz w:val="20"/>
          <w:u w:val="single"/>
        </w:rPr>
        <w:t>SEC Reports; Financial Statements</w:t>
      </w:r>
      <w:r>
        <w:rPr>
          <w:rFonts w:ascii="Times New Roman" w:hAnsi="Times New Roman"/>
          <w:color w:val="000000"/>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Final Prospectus, being collectively referred to herein as the “</w:t>
      </w:r>
      <w:r>
        <w:rPr>
          <w:rFonts w:ascii="Times New Roman" w:hAnsi="Times New Roman"/>
          <w:b/>
          <w:color w:val="000000"/>
          <w:sz w:val="20"/>
          <w:u w:val="single"/>
        </w:rPr>
        <w:t>SEC Reports</w:t>
      </w:r>
      <w:r>
        <w:rPr>
          <w:rFonts w:ascii="Times New Roman" w:hAnsi="Times New Roman"/>
          <w:color w:val="000000"/>
          <w:sz w:val="20"/>
        </w:rPr>
        <w:t xml:space="preserve">”)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w:t>
      </w:r>
      <w:bookmarkStart w:id="519" w:name="z_Hlk124007701"/>
      <w:bookmarkEnd w:id="519"/>
      <w:r>
        <w:rPr>
          <w:rFonts w:ascii="Times New Roman" w:hAnsi="Times New Roman"/>
          <w:color w:val="000000"/>
          <w:sz w:val="20"/>
        </w:rPr>
        <w:t>United States generally accepted accounting principles applied on a consistent basis during the periods involved (“</w:t>
      </w:r>
      <w:r>
        <w:rPr>
          <w:rFonts w:ascii="Times New Roman" w:hAnsi="Times New Roman"/>
          <w:b/>
          <w:color w:val="000000"/>
          <w:sz w:val="20"/>
          <w:u w:val="single"/>
        </w:rPr>
        <w:t>GAAP</w:t>
      </w:r>
      <w:r>
        <w:rPr>
          <w:rFonts w:ascii="Times New Roman" w:hAnsi="Times New Roman"/>
          <w:color w:val="000000"/>
          <w:sz w:val="20"/>
        </w:rPr>
        <w:t>”), except as may be otherwise specified in such financial statements or the notes thereto,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bookmarkStart w:id="520" w:name="z_Ref151299457"/>
      <w:bookmarkEnd w:id="520"/>
      <w:r>
        <w:rPr>
          <w:rFonts w:ascii="Times New Roman" w:hAnsi="Times New Roman"/>
          <w:color w:val="000000"/>
          <w:sz w:val="20"/>
        </w:rPr>
        <w:t xml:space="preserve">3.1.10.  </w:t>
      </w:r>
      <w:r>
        <w:rPr>
          <w:rFonts w:ascii="Times New Roman" w:hAnsi="Times New Roman"/>
          <w:b/>
          <w:color w:val="000000"/>
          <w:sz w:val="20"/>
          <w:u w:val="single"/>
        </w:rPr>
        <w:t>Material Changes; Undisclosed Events, Liabilities or Developments</w:t>
      </w:r>
      <w:r>
        <w:rPr>
          <w:rFonts w:ascii="Times New Roman" w:hAnsi="Times New Roman"/>
          <w:color w:val="000000"/>
          <w:sz w:val="20"/>
        </w:rPr>
        <w:t>. Since the date of the latest audited financial statements included within the SEC Reports, except as set forth therein,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shares of its share capital and (v) the Company has not issued any equity securities to any officer, director or Affiliate, except pursuant to existing Company share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bookmarkStart w:id="521" w:name="z_Ref151289130"/>
      <w:bookmarkEnd w:id="521"/>
      <w:r>
        <w:rPr>
          <w:rFonts w:ascii="Times New Roman" w:hAnsi="Times New Roman"/>
          <w:color w:val="000000"/>
          <w:sz w:val="20"/>
        </w:rPr>
        <w:t xml:space="preserve">3.1.11. </w:t>
      </w:r>
      <w:r>
        <w:rPr>
          <w:rFonts w:ascii="Times New Roman" w:hAnsi="Times New Roman"/>
          <w:b/>
          <w:color w:val="000000"/>
          <w:sz w:val="20"/>
          <w:u w:val="single"/>
        </w:rPr>
        <w:t>Litigation</w:t>
      </w:r>
      <w:r>
        <w:rPr>
          <w:rFonts w:ascii="Times New Roman" w:hAnsi="Times New Roman"/>
          <w:color w:val="000000"/>
          <w:sz w:val="20"/>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hAnsi="Times New Roman"/>
          <w:b/>
          <w:color w:val="000000"/>
          <w:sz w:val="20"/>
          <w:u w:val="single"/>
        </w:rPr>
        <w:t>Action</w:t>
      </w:r>
      <w:r>
        <w:rPr>
          <w:rFonts w:ascii="Times New Roman" w:hAnsi="Times New Roman"/>
          <w:color w:val="000000"/>
          <w:sz w:val="20"/>
        </w:rPr>
        <w:t>”). None of the Actions set forth in the SEC Reports, (i) adversely affects or challenges the legality, validity or enforceability of any of the Transaction Documents or (ii) would,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except in the ordinary course of business that would not have a Material Adverse Effect.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3.1.12.  </w:t>
      </w:r>
      <w:r>
        <w:rPr>
          <w:rFonts w:ascii="Times New Roman" w:hAnsi="Times New Roman"/>
          <w:b/>
          <w:color w:val="000000"/>
          <w:sz w:val="20"/>
          <w:u w:val="single"/>
        </w:rPr>
        <w:t>Labor Relations</w:t>
      </w:r>
      <w:r>
        <w:rPr>
          <w:rFonts w:ascii="Times New Roman" w:hAnsi="Times New Roman"/>
          <w:color w:val="000000"/>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3.1.13.  </w:t>
      </w:r>
      <w:r>
        <w:rPr>
          <w:rFonts w:ascii="Times New Roman" w:hAnsi="Times New Roman"/>
          <w:b/>
          <w:color w:val="000000"/>
          <w:sz w:val="20"/>
          <w:u w:val="single"/>
        </w:rPr>
        <w:t>Compliance</w:t>
      </w:r>
      <w:r>
        <w:rPr>
          <w:rFonts w:ascii="Times New Roman" w:hAnsi="Times New Roman"/>
          <w:color w:val="000000"/>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3.1.14. </w:t>
      </w:r>
      <w:r>
        <w:rPr>
          <w:rFonts w:ascii="Times New Roman" w:hAnsi="Times New Roman"/>
          <w:b/>
          <w:color w:val="000000"/>
          <w:sz w:val="20"/>
          <w:u w:val="single"/>
        </w:rPr>
        <w:t>Environmental Laws</w:t>
      </w:r>
      <w:r>
        <w:rPr>
          <w:rFonts w:ascii="Times New Roman" w:hAnsi="Times New Roman"/>
          <w:color w:val="000000"/>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hAnsi="Times New Roman"/>
          <w:b/>
          <w:color w:val="000000"/>
          <w:sz w:val="20"/>
          <w:u w:val="single"/>
        </w:rPr>
        <w:t>Hazardous Materials</w:t>
      </w:r>
      <w:r>
        <w:rPr>
          <w:rFonts w:ascii="Times New Roman" w:hAnsi="Times New Roman"/>
          <w:color w:val="000000"/>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hAnsi="Times New Roman"/>
          <w:b/>
          <w:color w:val="000000"/>
          <w:sz w:val="20"/>
          <w:u w:val="single"/>
        </w:rPr>
        <w:t>Environmental Laws</w:t>
      </w:r>
      <w:r>
        <w:rPr>
          <w:rFonts w:ascii="Times New Roman" w:hAnsi="Times New Roman"/>
          <w:color w:val="000000"/>
          <w:sz w:val="20"/>
        </w:rPr>
        <w:t>”); (ii) have received all permits licenses or other approvals required of them under applicable Environmental Laws to conduct their respective businesses; and (iii) are in compliance with all terms and conditions of any such permit, license or approval, except where, in each of clause (i), (ii) and (iii), the failure to so comply would not, individually or in the aggregate, reasonably be expected to have a Material Adverse Effect.</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bookmarkStart w:id="522" w:name="z_Ref151289613"/>
      <w:bookmarkEnd w:id="522"/>
      <w:r>
        <w:rPr>
          <w:rFonts w:ascii="Times New Roman" w:hAnsi="Times New Roman"/>
          <w:color w:val="000000"/>
          <w:sz w:val="20"/>
        </w:rPr>
        <w:t xml:space="preserve">3.1.15.  </w:t>
      </w:r>
      <w:r>
        <w:rPr>
          <w:rFonts w:ascii="Times New Roman" w:hAnsi="Times New Roman"/>
          <w:b/>
          <w:color w:val="000000"/>
          <w:sz w:val="20"/>
          <w:u w:val="single"/>
        </w:rPr>
        <w:t>Regulatory Permits</w:t>
      </w:r>
      <w:r>
        <w:rPr>
          <w:rFonts w:ascii="Times New Roman" w:hAnsi="Times New Roman"/>
          <w:color w:val="000000"/>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hAnsi="Times New Roman"/>
          <w:b/>
          <w:color w:val="000000"/>
          <w:sz w:val="20"/>
          <w:u w:val="single"/>
        </w:rPr>
        <w:t>Material Permits</w:t>
      </w:r>
      <w:r>
        <w:rPr>
          <w:rFonts w:ascii="Times New Roman" w:hAnsi="Times New Roman"/>
          <w:color w:val="000000"/>
          <w:sz w:val="20"/>
        </w:rPr>
        <w:t>”), and neither the Company nor any Subsidiary has received any notice of proceedings relating to the revocation or modification of any Material Permit.</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3.1.16.  </w:t>
      </w:r>
      <w:r>
        <w:rPr>
          <w:rFonts w:ascii="Times New Roman" w:hAnsi="Times New Roman"/>
          <w:b/>
          <w:color w:val="000000"/>
          <w:sz w:val="20"/>
          <w:u w:val="single"/>
        </w:rPr>
        <w:t>Title to Assets</w:t>
      </w:r>
      <w:r>
        <w:rPr>
          <w:rFonts w:ascii="Times New Roman" w:hAnsi="Times New Roman"/>
          <w:color w:val="000000"/>
          <w:sz w:val="20"/>
        </w:rPr>
        <w:t>. The Company and the Subsidiaries have good and marketable title in fee simple to, or have valid and marketable rights to lease or otherwise use, all real property and all personal property that is material to the business of the Company and the Subsidiaries, in each case free and clear of all Liens, except for (i) Liens that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Neither the Company nor any of its Subsidiaries has received any written notice of any claim of any sort that has been asserted by anyone adverse to the rights of the Company or its Subsidiaries under any of the leases or subleases or licenses or with respect to the properties mentioned above, or affecting or questioning the rights of the Company or any Subsidiary to the continued possession or use of the leased or subleased or licensed premises or the properties mentioned above, other than such claims which would not, individually or in the aggregate, reasonably be expected to have a Material Adverse Effect.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bookmarkStart w:id="523" w:name="z_Ref151289457"/>
      <w:bookmarkEnd w:id="523"/>
      <w:r>
        <w:rPr>
          <w:rFonts w:ascii="Times New Roman" w:hAnsi="Times New Roman"/>
          <w:color w:val="000000"/>
          <w:sz w:val="20"/>
        </w:rPr>
        <w:t xml:space="preserve">3.1.17.  </w:t>
      </w:r>
      <w:r>
        <w:rPr>
          <w:rFonts w:ascii="Times New Roman" w:hAnsi="Times New Roman"/>
          <w:b/>
          <w:color w:val="000000"/>
          <w:sz w:val="20"/>
          <w:u w:val="single"/>
        </w:rPr>
        <w:t>Intellectual Property</w:t>
      </w:r>
      <w:r>
        <w:rPr>
          <w:rFonts w:ascii="Times New Roman" w:hAnsi="Times New Roman"/>
          <w:color w:val="000000"/>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failure to so have could have a Material Adverse Effect (collectively, the “</w:t>
      </w:r>
      <w:r>
        <w:rPr>
          <w:rFonts w:ascii="Times New Roman" w:hAnsi="Times New Roman"/>
          <w:b/>
          <w:color w:val="000000"/>
          <w:sz w:val="20"/>
          <w:u w:val="single"/>
        </w:rPr>
        <w:t>Intellectual Property Rights</w:t>
      </w:r>
      <w:r>
        <w:rPr>
          <w:rFonts w:ascii="Times New Roman" w:hAnsi="Times New Roman"/>
          <w:color w:val="000000"/>
          <w:sz w:val="20"/>
        </w:rPr>
        <w:t>”). None of, and neither the Company nor any Subsidiary has received notice (written or otherwise) that any of, the Intellectual Property Rights has expired, terminated or been abandoned, or is expected to expire or terminate or be abandoned, within two (2) years after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3.1.18. </w:t>
      </w:r>
      <w:r>
        <w:rPr>
          <w:rFonts w:ascii="Times New Roman" w:hAnsi="Times New Roman"/>
          <w:b/>
          <w:color w:val="000000"/>
          <w:sz w:val="20"/>
          <w:u w:val="single"/>
        </w:rPr>
        <w:t>Insurance</w:t>
      </w:r>
      <w:r>
        <w:rPr>
          <w:rFonts w:ascii="Times New Roman" w:hAnsi="Times New Roman"/>
          <w:color w:val="000000"/>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amount deemed prudent by the Company.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bookmarkStart w:id="524" w:name="z_Ref151299489"/>
      <w:bookmarkEnd w:id="524"/>
      <w:r>
        <w:rPr>
          <w:rFonts w:ascii="Times New Roman" w:hAnsi="Times New Roman"/>
          <w:color w:val="000000"/>
          <w:sz w:val="20"/>
        </w:rPr>
        <w:t xml:space="preserve">3.1.19.  </w:t>
      </w:r>
      <w:r>
        <w:rPr>
          <w:rFonts w:ascii="Times New Roman" w:hAnsi="Times New Roman"/>
          <w:b/>
          <w:color w:val="000000"/>
          <w:sz w:val="20"/>
          <w:u w:val="single"/>
        </w:rPr>
        <w:t>Transactions with Affiliates and Employees</w:t>
      </w:r>
      <w:r>
        <w:rPr>
          <w:rFonts w:ascii="Times New Roman" w:hAnsi="Times New Roman"/>
          <w:color w:val="000000"/>
          <w:sz w:val="20"/>
        </w:rPr>
        <w:t>. Except as set forth in the SEC Reports, during the past three fiscal years and the subsequent interim period through the date of this Agreement,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and (iii) other employee benefits, including share option agreements under any share option plan of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bookmarkStart w:id="525" w:name="z_Ref151289318"/>
      <w:bookmarkEnd w:id="525"/>
      <w:r>
        <w:rPr>
          <w:rFonts w:ascii="Times New Roman" w:hAnsi="Times New Roman"/>
          <w:color w:val="000000"/>
          <w:sz w:val="20"/>
        </w:rPr>
        <w:t xml:space="preserve">3.1.20.  </w:t>
      </w:r>
      <w:r>
        <w:rPr>
          <w:rFonts w:ascii="Times New Roman" w:hAnsi="Times New Roman"/>
          <w:b/>
          <w:color w:val="000000"/>
          <w:sz w:val="20"/>
          <w:u w:val="single"/>
        </w:rPr>
        <w:t>Sarbanes-Oxley; Internal Accounting Controls</w:t>
      </w:r>
      <w:r>
        <w:rPr>
          <w:rFonts w:ascii="Times New Roman" w:hAnsi="Times New Roman"/>
          <w:color w:val="000000"/>
          <w:sz w:val="20"/>
        </w:rPr>
        <w:t>. The Company and the Subsidiaries are in material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to the extent publicly disclosed in the Company’s annual and semi-annual reports filed with the Commission,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hAnsi="Times New Roman"/>
          <w:b/>
          <w:color w:val="000000"/>
          <w:sz w:val="20"/>
          <w:u w:val="single"/>
        </w:rPr>
        <w:t>Evaluation Date</w:t>
      </w:r>
      <w:r>
        <w:rPr>
          <w:rFonts w:ascii="Times New Roman" w:hAnsi="Times New Roman"/>
          <w:color w:val="000000"/>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bookmarkStart w:id="526" w:name="z_Ref151290571"/>
      <w:bookmarkEnd w:id="526"/>
      <w:r>
        <w:rPr>
          <w:rFonts w:ascii="Times New Roman" w:hAnsi="Times New Roman"/>
          <w:color w:val="000000"/>
          <w:sz w:val="20"/>
        </w:rPr>
        <w:t xml:space="preserve">3.1.21. </w:t>
      </w:r>
      <w:r>
        <w:rPr>
          <w:rFonts w:ascii="Times New Roman" w:hAnsi="Times New Roman"/>
          <w:b/>
          <w:color w:val="000000"/>
          <w:sz w:val="20"/>
          <w:u w:val="single"/>
        </w:rPr>
        <w:t>Certain Fees</w:t>
      </w:r>
      <w:r>
        <w:rPr>
          <w:rFonts w:ascii="Times New Roman" w:hAnsi="Times New Roman"/>
          <w:color w:val="000000"/>
          <w:sz w:val="20"/>
        </w:rPr>
        <w:t>. Except for the fees and expenses of the Placement Agent and except as set forth on Schedule 3.1.21,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3.1.21 that may be due in connection with the transactions contemplated by the Transaction Documents.</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3.1.22. </w:t>
      </w:r>
      <w:r>
        <w:rPr>
          <w:rFonts w:ascii="Times New Roman" w:hAnsi="Times New Roman"/>
          <w:b/>
          <w:color w:val="000000"/>
          <w:sz w:val="20"/>
          <w:u w:val="single"/>
        </w:rPr>
        <w:t>Investment Company</w:t>
      </w:r>
      <w:r>
        <w:rPr>
          <w:rFonts w:ascii="Times New Roman" w:hAnsi="Times New Roman"/>
          <w:color w:val="000000"/>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3.1.23. </w:t>
      </w:r>
      <w:r>
        <w:rPr>
          <w:rFonts w:ascii="Times New Roman" w:hAnsi="Times New Roman"/>
          <w:b/>
          <w:color w:val="000000"/>
          <w:sz w:val="20"/>
          <w:u w:val="single"/>
        </w:rPr>
        <w:t>Listing and Maintenance Requirements</w:t>
      </w:r>
      <w:r>
        <w:rPr>
          <w:rFonts w:ascii="Times New Roman" w:hAnsi="Times New Roman"/>
          <w:color w:val="000000"/>
          <w:sz w:val="20"/>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The Company has not, in the 12 months preceding the date hereof, received notice from any Trading Market on which the Ordinary Shares are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Ordinary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3.1.24. </w:t>
      </w:r>
      <w:r>
        <w:rPr>
          <w:rFonts w:ascii="Times New Roman" w:hAnsi="Times New Roman"/>
          <w:b/>
          <w:color w:val="000000"/>
          <w:sz w:val="20"/>
          <w:u w:val="single"/>
        </w:rPr>
        <w:t>Application of Takeover Protections</w:t>
      </w:r>
      <w:r>
        <w:rPr>
          <w:rFonts w:ascii="Times New Roman" w:hAnsi="Times New Roman"/>
          <w:color w:val="000000"/>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3.1.25.  </w:t>
      </w:r>
      <w:r>
        <w:rPr>
          <w:rFonts w:ascii="Times New Roman" w:hAnsi="Times New Roman"/>
          <w:b/>
          <w:color w:val="000000"/>
          <w:sz w:val="20"/>
          <w:u w:val="single"/>
        </w:rPr>
        <w:t>Disclosure</w:t>
      </w:r>
      <w:r>
        <w:rPr>
          <w:rFonts w:ascii="Times New Roman" w:hAnsi="Times New Roman"/>
          <w:color w:val="000000"/>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3.1.26.  </w:t>
      </w:r>
      <w:r>
        <w:rPr>
          <w:rFonts w:ascii="Times New Roman" w:hAnsi="Times New Roman"/>
          <w:b/>
          <w:color w:val="000000"/>
          <w:sz w:val="20"/>
          <w:u w:val="single"/>
        </w:rPr>
        <w:t>No Integrated Offering</w:t>
      </w:r>
      <w:r>
        <w:rPr>
          <w:rFonts w:ascii="Times New Roman" w:hAnsi="Times New Roman"/>
          <w:color w:val="000000"/>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bookmarkStart w:id="527" w:name="z_Ref151289447"/>
      <w:bookmarkEnd w:id="527"/>
      <w:r>
        <w:rPr>
          <w:rFonts w:ascii="Times New Roman" w:hAnsi="Times New Roman"/>
          <w:color w:val="000000"/>
          <w:sz w:val="20"/>
        </w:rPr>
        <w:t xml:space="preserve">3.1.27. </w:t>
      </w:r>
      <w:r>
        <w:rPr>
          <w:rFonts w:ascii="Times New Roman" w:hAnsi="Times New Roman"/>
          <w:b/>
          <w:color w:val="000000"/>
          <w:sz w:val="20"/>
          <w:u w:val="single"/>
        </w:rPr>
        <w:t>Solvency</w:t>
      </w:r>
      <w:r>
        <w:rPr>
          <w:rFonts w:ascii="Times New Roman" w:hAnsi="Times New Roman"/>
          <w:color w:val="000000"/>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after the Closing Date. Schedule 3.1.27 sets forth as of the date hereof all outstanding secured and unsecured Indebtedness of the Company or any Subsidiary, or for which the Company or any Subsidiary has commitments. For the purposes of this Agreement, “</w:t>
      </w:r>
      <w:r>
        <w:rPr>
          <w:rFonts w:ascii="Times New Roman" w:hAnsi="Times New Roman"/>
          <w:b/>
          <w:color w:val="000000"/>
          <w:sz w:val="20"/>
          <w:u w:val="single"/>
        </w:rPr>
        <w:t>Indebtedness</w:t>
      </w:r>
      <w:r>
        <w:rPr>
          <w:rFonts w:ascii="Times New Roman" w:hAnsi="Times New Roman"/>
          <w:color w:val="000000"/>
          <w:sz w:val="20"/>
        </w:rPr>
        <w:t xml:space="preserve">”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w:t>
      </w:r>
      <w:bookmarkStart w:id="528" w:name="z_Toc497644622"/>
      <w:bookmarkEnd w:id="528"/>
      <w:r>
        <w:rPr>
          <w:rFonts w:ascii="Times New Roman" w:hAnsi="Times New Roman"/>
          <w:color w:val="000000"/>
          <w:sz w:val="20"/>
        </w:rPr>
        <w:t>payments in excess of $50,000 due under leases required to be capitalized in accordance with GAAP. Neither the Company nor any Subsidiary is in default with respect to any Indebtedness.</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bookmarkStart w:id="529" w:name="z_Ref151299551"/>
      <w:bookmarkEnd w:id="529"/>
      <w:r>
        <w:rPr>
          <w:rFonts w:ascii="Times New Roman" w:hAnsi="Times New Roman"/>
          <w:color w:val="000000"/>
          <w:sz w:val="20"/>
        </w:rPr>
        <w:t xml:space="preserve">3.1.28.  </w:t>
      </w:r>
      <w:r>
        <w:rPr>
          <w:rFonts w:ascii="Times New Roman" w:hAnsi="Times New Roman"/>
          <w:b/>
          <w:color w:val="000000"/>
          <w:sz w:val="20"/>
          <w:u w:val="single"/>
        </w:rPr>
        <w:t>Tax Status</w:t>
      </w:r>
      <w:r>
        <w:rPr>
          <w:rFonts w:ascii="Times New Roman" w:hAnsi="Times New Roman"/>
          <w:color w:val="000000"/>
          <w:sz w:val="20"/>
        </w:rPr>
        <w:t>. Except as disclosed in Schedule 3.1.28, the Company and its Subsidiaries each (i) has made or filed all material United States federal, state and local income and all foreign income and franchise tax returns, reports and declarations required by any jurisdiction to which it is subject, (ii) has paid all material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3.1.29.  </w:t>
      </w:r>
      <w:r>
        <w:rPr>
          <w:rFonts w:ascii="Times New Roman" w:hAnsi="Times New Roman"/>
          <w:b/>
          <w:color w:val="000000"/>
          <w:sz w:val="20"/>
          <w:u w:val="single"/>
        </w:rPr>
        <w:t>Foreign Corrupt Practices Act</w:t>
      </w:r>
      <w:r>
        <w:rPr>
          <w:rFonts w:ascii="Times New Roman" w:hAnsi="Times New Roman"/>
          <w:color w:val="000000"/>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3.1.30.  </w:t>
      </w:r>
      <w:r>
        <w:rPr>
          <w:rFonts w:ascii="Times New Roman" w:hAnsi="Times New Roman"/>
          <w:b/>
          <w:color w:val="000000"/>
          <w:sz w:val="20"/>
          <w:u w:val="single"/>
        </w:rPr>
        <w:t>Accountants</w:t>
      </w:r>
      <w:r>
        <w:rPr>
          <w:rFonts w:ascii="Times New Roman" w:hAnsi="Times New Roman"/>
          <w:color w:val="000000"/>
          <w:sz w:val="20"/>
        </w:rPr>
        <w:t>. The Company’s accounting firm is UHY LLP, with offices at 4 Park Plaza, Suite 350, Irvine, CA 92614. To the knowledge and belief of the Company, such accounting firm (i) is a registered public accounting firm as required by the Exchange Act and (ii) shall express its opinion with respect to the financial statements to be included in the Company’s Annual Report for the now current fiscal year.</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3.1.31.  </w:t>
      </w:r>
      <w:r>
        <w:rPr>
          <w:rFonts w:ascii="Times New Roman" w:hAnsi="Times New Roman"/>
          <w:b/>
          <w:color w:val="000000"/>
          <w:sz w:val="20"/>
          <w:u w:val="single"/>
        </w:rPr>
        <w:t>No Disagreements with Accountants and Lawyers</w:t>
      </w:r>
      <w:r>
        <w:rPr>
          <w:rFonts w:ascii="Times New Roman" w:hAnsi="Times New Roman"/>
          <w:color w:val="000000"/>
          <w:sz w:val="20"/>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3.1.32.  </w:t>
      </w:r>
      <w:r>
        <w:rPr>
          <w:rFonts w:ascii="Times New Roman" w:hAnsi="Times New Roman"/>
          <w:b/>
          <w:color w:val="000000"/>
          <w:sz w:val="20"/>
          <w:u w:val="single"/>
        </w:rPr>
        <w:t>Acknowledgment Regarding Purchasers’ Purchase of Securities</w:t>
      </w:r>
      <w:r>
        <w:rPr>
          <w:rFonts w:ascii="Times New Roman" w:hAnsi="Times New Roman"/>
          <w:color w:val="000000"/>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3.1.33.  </w:t>
      </w:r>
      <w:r>
        <w:rPr>
          <w:rFonts w:ascii="Times New Roman" w:hAnsi="Times New Roman"/>
          <w:b/>
          <w:color w:val="000000"/>
          <w:sz w:val="20"/>
          <w:u w:val="single"/>
        </w:rPr>
        <w:t>Acknowledgment Regarding Purchaser’s Trading Activity</w:t>
      </w:r>
      <w:r>
        <w:rPr>
          <w:rFonts w:ascii="Times New Roman" w:hAnsi="Times New Roman"/>
          <w:color w:val="000000"/>
          <w:sz w:val="20"/>
        </w:rPr>
        <w:t>. Notwithstanding anything in this Agreement or elsewhere herein to the contrary (except for Sections 3.2.5 and 4.12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3.1.34.  </w:t>
      </w:r>
      <w:r>
        <w:rPr>
          <w:rFonts w:ascii="Times New Roman" w:hAnsi="Times New Roman"/>
          <w:b/>
          <w:color w:val="000000"/>
          <w:sz w:val="20"/>
          <w:u w:val="single"/>
        </w:rPr>
        <w:t>Regulation M Compliance</w:t>
      </w:r>
      <w:r>
        <w:rPr>
          <w:rFonts w:ascii="Times New Roman" w:hAnsi="Times New Roman"/>
          <w:color w:val="000000"/>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3.1.35. </w:t>
      </w:r>
      <w:r>
        <w:rPr>
          <w:rFonts w:ascii="Times New Roman" w:hAnsi="Times New Roman"/>
          <w:b/>
          <w:color w:val="000000"/>
          <w:sz w:val="20"/>
          <w:u w:val="single"/>
        </w:rPr>
        <w:t>Officers’ Certificate</w:t>
      </w:r>
      <w:r>
        <w:rPr>
          <w:rFonts w:ascii="Times New Roman" w:hAnsi="Times New Roman"/>
          <w:color w:val="000000"/>
          <w:sz w:val="20"/>
        </w:rPr>
        <w:t>. Any certificate signed by any duly authorized officer of the Company and delivered to the Purchasers shall be deemed a representation and warranty by the Company to the Purchasers as to the matters covered thereby.</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3.1.36. </w:t>
      </w:r>
      <w:r>
        <w:rPr>
          <w:rFonts w:ascii="Times New Roman" w:hAnsi="Times New Roman"/>
          <w:b/>
          <w:color w:val="000000"/>
          <w:sz w:val="20"/>
          <w:u w:val="single"/>
        </w:rPr>
        <w:t>D&amp;O Questionnaires</w:t>
      </w:r>
      <w:r>
        <w:rPr>
          <w:rFonts w:ascii="Times New Roman" w:hAnsi="Times New Roman"/>
          <w:color w:val="000000"/>
          <w:sz w:val="20"/>
        </w:rPr>
        <w:t>. To the Company’s knowledge, all information contained in the questionnaires most recently completed by each of the Company’s directors and officers and beneficial owner of 5% or more of the Ordinary Shares or Ordinary Share Equivalents is true and correct in all material respects and the Company has not become aware of any information which would cause the information disclosed in such questionnaires to become materially inaccurate and incorrect.</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3.1.37.  </w:t>
      </w:r>
      <w:r>
        <w:rPr>
          <w:rFonts w:ascii="Times New Roman" w:hAnsi="Times New Roman"/>
          <w:b/>
          <w:color w:val="000000"/>
          <w:sz w:val="20"/>
          <w:u w:val="single"/>
        </w:rPr>
        <w:t>Share Option Plans</w:t>
      </w:r>
      <w:r>
        <w:rPr>
          <w:rFonts w:ascii="Times New Roman" w:hAnsi="Times New Roman"/>
          <w:color w:val="000000"/>
          <w:sz w:val="20"/>
        </w:rPr>
        <w:t>. Each share option granted by the Company under the Company’s share option plan, if any, was granted (i) in accordance with the terms of the Company’s share option plan and (ii) with an exercise price at least equal to the fair market value of the Ordinary Shares on the date such share option would be considered granted under GAAP and applicable law. No share option granted under the Company’s share option plan has been backdated. The Company has not knowingly granted, and there is no and has been no Company policy or practice to knowingly grant, share options prior to, or otherwise knowingly coordinate the grant of share options with, the release or other public announcement of material information regarding the Company or its Subsidiaries or their financial results or prospects.</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bookmarkStart w:id="530" w:name="z_Ref151289644"/>
      <w:bookmarkEnd w:id="530"/>
      <w:r>
        <w:rPr>
          <w:rFonts w:ascii="Times New Roman" w:hAnsi="Times New Roman"/>
          <w:color w:val="000000"/>
          <w:sz w:val="20"/>
        </w:rPr>
        <w:t xml:space="preserve">3.1.38. </w:t>
      </w:r>
      <w:r>
        <w:rPr>
          <w:rFonts w:ascii="Times New Roman" w:hAnsi="Times New Roman"/>
          <w:b/>
          <w:color w:val="000000"/>
          <w:sz w:val="20"/>
          <w:u w:val="single"/>
        </w:rPr>
        <w:t>Office of Foreign Assets Control</w:t>
      </w:r>
      <w:r>
        <w:rPr>
          <w:rFonts w:ascii="Times New Roman" w:hAnsi="Times New Roman"/>
          <w:color w:val="000000"/>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hAnsi="Times New Roman"/>
          <w:b/>
          <w:color w:val="000000"/>
          <w:sz w:val="20"/>
          <w:u w:val="single"/>
        </w:rPr>
        <w:t>OFAC</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3.1.39.  </w:t>
      </w:r>
      <w:r>
        <w:rPr>
          <w:rFonts w:ascii="Times New Roman" w:hAnsi="Times New Roman"/>
          <w:b/>
          <w:color w:val="000000"/>
          <w:sz w:val="20"/>
          <w:u w:val="single"/>
        </w:rPr>
        <w:t>U.S. Real Property Holding Corporation</w:t>
      </w:r>
      <w:r>
        <w:rPr>
          <w:rFonts w:ascii="Times New Roman" w:hAnsi="Times New Roman"/>
          <w:color w:val="000000"/>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bookmarkStart w:id="531" w:name="z_Ref151289152"/>
      <w:bookmarkEnd w:id="531"/>
      <w:r>
        <w:rPr>
          <w:rFonts w:ascii="Times New Roman" w:hAnsi="Times New Roman"/>
          <w:color w:val="000000"/>
          <w:sz w:val="20"/>
        </w:rPr>
        <w:t xml:space="preserve">3.1.40. </w:t>
      </w:r>
      <w:r>
        <w:rPr>
          <w:rFonts w:ascii="Times New Roman" w:hAnsi="Times New Roman"/>
          <w:b/>
          <w:color w:val="000000"/>
          <w:sz w:val="20"/>
          <w:u w:val="single"/>
        </w:rPr>
        <w:t>Bank Holding Company Act</w:t>
      </w:r>
      <w:r>
        <w:rPr>
          <w:rFonts w:ascii="Times New Roman" w:hAnsi="Times New Roman"/>
          <w:color w:val="000000"/>
          <w:sz w:val="20"/>
        </w:rPr>
        <w:t>. Neither the Company nor any of its Subsidiaries or Affiliates is subject to the Bank Holding Company Act of 1956, as amended (the “</w:t>
      </w:r>
      <w:r>
        <w:rPr>
          <w:rFonts w:ascii="Times New Roman" w:hAnsi="Times New Roman"/>
          <w:b/>
          <w:color w:val="000000"/>
          <w:sz w:val="20"/>
          <w:u w:val="single"/>
        </w:rPr>
        <w:t>BHCA</w:t>
      </w:r>
      <w:r>
        <w:rPr>
          <w:rFonts w:ascii="Times New Roman" w:hAnsi="Times New Roman"/>
          <w:color w:val="000000"/>
          <w:sz w:val="20"/>
        </w:rPr>
        <w:t>”) and to regulation by the Board of Governors of the Federal Reserve System (the “</w:t>
      </w:r>
      <w:r>
        <w:rPr>
          <w:rFonts w:ascii="Times New Roman" w:hAnsi="Times New Roman"/>
          <w:b/>
          <w:color w:val="000000"/>
          <w:sz w:val="20"/>
          <w:u w:val="single"/>
        </w:rPr>
        <w:t>Federal Reserve</w:t>
      </w:r>
      <w:r>
        <w:rPr>
          <w:rFonts w:ascii="Times New Roman" w:hAnsi="Times New Roman"/>
          <w:color w:val="000000"/>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bookmarkStart w:id="532" w:name="z_Ref151289630"/>
      <w:bookmarkEnd w:id="532"/>
      <w:r>
        <w:rPr>
          <w:rFonts w:ascii="Times New Roman" w:hAnsi="Times New Roman"/>
          <w:color w:val="000000"/>
          <w:sz w:val="20"/>
        </w:rPr>
        <w:t xml:space="preserve">3.1.41.  </w:t>
      </w:r>
      <w:r>
        <w:rPr>
          <w:rFonts w:ascii="Times New Roman" w:hAnsi="Times New Roman"/>
          <w:b/>
          <w:color w:val="000000"/>
          <w:sz w:val="20"/>
          <w:u w:val="single"/>
        </w:rPr>
        <w:t>Money Laundering</w:t>
      </w:r>
      <w:r>
        <w:rPr>
          <w:rFonts w:ascii="Times New Roman" w:hAnsi="Times New Roman"/>
          <w:color w:val="000000"/>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hAnsi="Times New Roman"/>
          <w:b/>
          <w:color w:val="000000"/>
          <w:sz w:val="20"/>
          <w:u w:val="single"/>
        </w:rPr>
        <w:t>Money Laundering Laws</w:t>
      </w:r>
      <w:r>
        <w:rPr>
          <w:rFonts w:ascii="Times New Roman" w:hAnsi="Times New Roman"/>
          <w:color w:val="000000"/>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3.1.42.  </w:t>
      </w:r>
      <w:r>
        <w:rPr>
          <w:rFonts w:ascii="Times New Roman" w:hAnsi="Times New Roman"/>
          <w:b/>
          <w:color w:val="000000"/>
          <w:sz w:val="20"/>
          <w:u w:val="single"/>
        </w:rPr>
        <w:t>Other Covered Persons</w:t>
      </w:r>
      <w:r>
        <w:rPr>
          <w:rFonts w:ascii="Times New Roman" w:hAnsi="Times New Roman"/>
          <w:color w:val="000000"/>
          <w:sz w:val="20"/>
        </w:rPr>
        <w:t>. Other than the Placement Agent, the Company is not aware of any person that has been or will be paid (directly or indirectly) remuneration for solicitation of purchasers in connection with the sale of any Securities.</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bookmarkStart w:id="533" w:name="z_Ref151289496"/>
      <w:bookmarkEnd w:id="533"/>
      <w:r>
        <w:rPr>
          <w:rFonts w:ascii="Times New Roman" w:hAnsi="Times New Roman"/>
          <w:color w:val="000000"/>
          <w:sz w:val="20"/>
        </w:rPr>
        <w:t xml:space="preserve">3.1.43. </w:t>
      </w:r>
      <w:r>
        <w:rPr>
          <w:rFonts w:ascii="Times New Roman" w:hAnsi="Times New Roman"/>
          <w:b/>
          <w:color w:val="000000"/>
          <w:sz w:val="20"/>
          <w:u w:val="single"/>
        </w:rPr>
        <w:t>Cybersecurity</w:t>
      </w:r>
      <w:r>
        <w:rPr>
          <w:rFonts w:ascii="Times New Roman" w:hAnsi="Times New Roman"/>
          <w:color w:val="000000"/>
          <w:sz w:val="20"/>
        </w:rPr>
        <w:t>. (i) (a)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hAnsi="Times New Roman"/>
          <w:b/>
          <w:color w:val="000000"/>
          <w:sz w:val="20"/>
          <w:u w:val="single"/>
        </w:rPr>
        <w:t>IT Systems and Data</w:t>
      </w:r>
      <w:r>
        <w:rPr>
          <w:rFonts w:ascii="Times New Roman" w:hAnsi="Times New Roman"/>
          <w:color w:val="000000"/>
          <w:sz w:val="20"/>
        </w:rPr>
        <w:t>”) and (b)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in the case of clauses (i) and (ii) herein,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jc w:val="left"/>
        <w:rPr/>
      </w:pPr>
      <w:r>
        <w:rPr/>
      </w:r>
    </w:p>
    <w:p>
      <w:pPr>
        <w:pStyle w:val="TextBody"/>
        <w:bidi w:val="0"/>
        <w:spacing w:before="200" w:after="200"/>
        <w:ind w:left="720" w:right="0" w:firstLine="900"/>
        <w:jc w:val="center"/>
        <w:rPr>
          <w:rFonts w:ascii="Times New Roman" w:hAnsi="Times New Roman"/>
          <w:b w:val="false"/>
          <w:i w:val="false"/>
          <w:caps w:val="false"/>
          <w:smallCaps w:val="false"/>
          <w:color w:val="000000"/>
          <w:sz w:val="16"/>
        </w:rPr>
      </w:pPr>
      <w:bookmarkStart w:id="534" w:name="z_Ref151290592"/>
      <w:bookmarkEnd w:id="534"/>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3.2.      </w:t>
      </w:r>
      <w:r>
        <w:rPr>
          <w:rFonts w:ascii="Times New Roman" w:hAnsi="Times New Roman"/>
          <w:b/>
          <w:color w:val="000000"/>
          <w:sz w:val="20"/>
          <w:u w:val="single"/>
        </w:rPr>
        <w:t>Representations and Warranties of the Purchasers</w:t>
      </w:r>
      <w:r>
        <w:rPr>
          <w:rFonts w:ascii="Times New Roman" w:hAnsi="Times New Roman"/>
          <w:color w:val="000000"/>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720" w:right="0" w:firstLine="900"/>
        <w:jc w:val="both"/>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3.2.1.   </w:t>
      </w:r>
      <w:r>
        <w:rPr>
          <w:rFonts w:ascii="Times New Roman" w:hAnsi="Times New Roman"/>
          <w:b/>
          <w:color w:val="000000"/>
          <w:sz w:val="20"/>
          <w:u w:val="single"/>
        </w:rPr>
        <w:t>Organization; Authority</w:t>
      </w:r>
      <w:r>
        <w:rPr>
          <w:rFonts w:ascii="Times New Roman" w:hAnsi="Times New Roman"/>
          <w:color w:val="000000"/>
          <w:sz w:val="20"/>
        </w:rPr>
        <w:t>. Such Purchaser is either an individual or an entity duly incorporated or formed, validly existing and in good standing under the law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legal, valid and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3.2.2.   </w:t>
      </w:r>
      <w:r>
        <w:rPr>
          <w:rFonts w:ascii="Times New Roman" w:hAnsi="Times New Roman"/>
          <w:b/>
          <w:color w:val="000000"/>
          <w:sz w:val="20"/>
          <w:u w:val="single"/>
        </w:rPr>
        <w:t>Own Account</w:t>
      </w:r>
      <w:r>
        <w:rPr>
          <w:rFonts w:ascii="Times New Roman" w:hAnsi="Times New Roman"/>
          <w:color w:val="000000"/>
          <w:sz w:val="20"/>
        </w:rPr>
        <w:t>. Such Purchaser is acquiring the Securities as principal for its own account and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shall not limit such Purchaser’s right to sell the Securities pursuant to a registration statement or otherwise in compliance with applicable federal and state securities laws). Such Purchaser is acquiring the Securities hereunder in the ordinary course of its business.</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3.2.3.   </w:t>
      </w:r>
      <w:r>
        <w:rPr>
          <w:rFonts w:ascii="Times New Roman" w:hAnsi="Times New Roman"/>
          <w:b/>
          <w:color w:val="000000"/>
          <w:sz w:val="20"/>
          <w:u w:val="single"/>
        </w:rPr>
        <w:t>Experience of Such Purchaser</w:t>
      </w:r>
      <w:r>
        <w:rPr>
          <w:rFonts w:ascii="Times New Roman" w:hAnsi="Times New Roman"/>
          <w:color w:val="000000"/>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3.2.4.   </w:t>
      </w:r>
      <w:r>
        <w:rPr>
          <w:rFonts w:ascii="Times New Roman" w:hAnsi="Times New Roman"/>
          <w:b/>
          <w:color w:val="000000"/>
          <w:sz w:val="20"/>
          <w:u w:val="single"/>
        </w:rPr>
        <w:t>Access to Information</w:t>
      </w:r>
      <w:r>
        <w:rPr>
          <w:rFonts w:ascii="Times New Roman" w:hAnsi="Times New Roman"/>
          <w:color w:val="000000"/>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and has not been provided to it (other than with respect to the transactions contemplated by the Transaction Documents). In connection with the issuance of the Securities to such Purchaser, neither the Placement Agent nor any of its Affiliates has acted as a financial advisor or fiduciary to such Purchaser.</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ind w:left="720" w:right="0" w:firstLine="900"/>
        <w:jc w:val="both"/>
        <w:rPr>
          <w:rFonts w:ascii="Times New Roman" w:hAnsi="Times New Roman"/>
          <w:color w:val="000000"/>
          <w:sz w:val="20"/>
        </w:rPr>
      </w:pPr>
      <w:bookmarkStart w:id="535" w:name="z_Ref151290654"/>
      <w:bookmarkEnd w:id="535"/>
      <w:r>
        <w:rPr>
          <w:rFonts w:ascii="Times New Roman" w:hAnsi="Times New Roman"/>
          <w:color w:val="000000"/>
          <w:sz w:val="20"/>
        </w:rPr>
        <w:t xml:space="preserve">3.2.5.   </w:t>
      </w:r>
      <w:r>
        <w:rPr>
          <w:rFonts w:ascii="Times New Roman" w:hAnsi="Times New Roman"/>
          <w:b/>
          <w:color w:val="000000"/>
          <w:sz w:val="20"/>
          <w:u w:val="single"/>
        </w:rPr>
        <w:t>Certain Transactions and Confidentiality</w:t>
      </w:r>
      <w:r>
        <w:rPr>
          <w:rFonts w:ascii="Times New Roman" w:hAnsi="Times New Roman"/>
          <w:color w:val="000000"/>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parties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jc w:val="left"/>
        <w:rPr/>
      </w:pPr>
      <w:r>
        <w:rPr/>
      </w:r>
    </w:p>
    <w:p>
      <w:pPr>
        <w:pStyle w:val="TextBody"/>
        <w:bidi w:val="0"/>
        <w:spacing w:before="0" w:after="0"/>
        <w:ind w:left="720" w:right="0" w:firstLine="900"/>
        <w:jc w:val="both"/>
        <w:rPr>
          <w:rFonts w:ascii="Times New Roman" w:hAnsi="Times New Roman"/>
          <w:color w:val="000000"/>
          <w:sz w:val="20"/>
        </w:rPr>
      </w:pPr>
      <w:r>
        <w:rPr>
          <w:rFonts w:ascii="Times New Roman" w:hAnsi="Times New Roman"/>
          <w:color w:val="000000"/>
          <w:sz w:val="20"/>
        </w:rPr>
        <w:t xml:space="preserve">3.2.6.   </w:t>
      </w:r>
      <w:r>
        <w:rPr>
          <w:rFonts w:ascii="Times New Roman" w:hAnsi="Times New Roman"/>
          <w:b/>
          <w:color w:val="000000"/>
          <w:sz w:val="20"/>
          <w:u w:val="single"/>
        </w:rPr>
        <w:t>No Intent to Effect a Change of Control</w:t>
      </w:r>
      <w:r>
        <w:rPr>
          <w:rFonts w:ascii="Times New Roman" w:hAnsi="Times New Roman"/>
          <w:color w:val="000000"/>
          <w:sz w:val="20"/>
        </w:rPr>
        <w:t>. Such Purchaser has no present intent to effect a “change of control” of the Company as such term is interpreted and understood under the rules promulgated pursuant to Section 13(d) of the Exchange 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36" w:name="zf53f6a28c04a4a7384ced86b6dfec145"/>
      <w:bookmarkStart w:id="537" w:name="zf53f6a28c04a4a7384ced86b6dfec145"/>
      <w:bookmarkEnd w:id="537"/>
    </w:p>
    <w:tbl>
      <w:tblPr>
        <w:tblW w:w="2995" w:type="dxa"/>
        <w:jc w:val="left"/>
        <w:tblInd w:w="0" w:type="dxa"/>
        <w:tblLayout w:type="fixed"/>
        <w:tblCellMar>
          <w:top w:w="0" w:type="dxa"/>
          <w:left w:w="0" w:type="dxa"/>
          <w:bottom w:w="0" w:type="dxa"/>
          <w:right w:w="0" w:type="dxa"/>
        </w:tblCellMar>
      </w:tblPr>
      <w:tblGrid>
        <w:gridCol w:w="215"/>
        <w:gridCol w:w="2780"/>
      </w:tblGrid>
      <w:tr>
        <w:trPr/>
        <w:tc>
          <w:tcPr>
            <w:tcW w:w="215" w:type="dxa"/>
            <w:tcBorders/>
            <w:vAlign w:val="center"/>
          </w:tcPr>
          <w:p>
            <w:pPr>
              <w:pStyle w:val="TableContents"/>
              <w:bidi w:val="0"/>
              <w:spacing w:before="0" w:after="283"/>
              <w:jc w:val="left"/>
              <w:rPr/>
            </w:pPr>
            <w:bookmarkStart w:id="538" w:name="z_Ref151290897"/>
            <w:bookmarkEnd w:id="538"/>
            <w:r>
              <w:rPr/>
              <w:t>4.</w:t>
            </w:r>
          </w:p>
        </w:tc>
        <w:tc>
          <w:tcPr>
            <w:tcW w:w="2780" w:type="dxa"/>
            <w:tcBorders/>
            <w:vAlign w:val="center"/>
          </w:tcPr>
          <w:p>
            <w:pPr>
              <w:pStyle w:val="TableContents"/>
              <w:bidi w:val="0"/>
              <w:spacing w:before="0" w:after="0"/>
              <w:jc w:val="both"/>
              <w:rPr>
                <w:sz w:val="24"/>
              </w:rPr>
            </w:pPr>
            <w:r>
              <w:rPr>
                <w:b/>
                <w:sz w:val="20"/>
                <w:u w:val="single"/>
              </w:rPr>
              <w:t>Other Agreements of the Parties</w:t>
            </w:r>
            <w:r>
              <w:rPr>
                <w:sz w:val="20"/>
              </w:rPr>
              <w:t>.</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539" w:name="z_Ref151290534"/>
      <w:bookmarkEnd w:id="539"/>
      <w:r>
        <w:rPr>
          <w:rFonts w:ascii="Times New Roman" w:hAnsi="Times New Roman"/>
          <w:color w:val="000000"/>
          <w:sz w:val="20"/>
        </w:rPr>
        <w:t xml:space="preserve">4.1.      </w:t>
      </w:r>
      <w:r>
        <w:rPr>
          <w:rFonts w:ascii="Times New Roman" w:hAnsi="Times New Roman"/>
          <w:b/>
          <w:color w:val="000000"/>
          <w:sz w:val="20"/>
          <w:u w:val="single"/>
        </w:rPr>
        <w:t>Furnishing of Information; Public Information</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4.1.1.          Until no Purchaser owns any Securities, the Company covenants to maintain the effectiveness of the registration of the Ordinary Shares under Section 12(b) or 12(g) of the Exchange Act and to use reasonable best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4.2.      </w:t>
      </w:r>
      <w:r>
        <w:rPr>
          <w:rFonts w:ascii="Times New Roman" w:hAnsi="Times New Roman"/>
          <w:b/>
          <w:color w:val="000000"/>
          <w:sz w:val="20"/>
          <w:u w:val="single"/>
        </w:rPr>
        <w:t>Integration</w:t>
      </w:r>
      <w:r>
        <w:rPr>
          <w:rFonts w:ascii="Times New Roman" w:hAnsi="Times New Roman"/>
          <w:color w:val="000000"/>
          <w:sz w:val="20"/>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540" w:name="z_Ref151290954"/>
      <w:bookmarkEnd w:id="540"/>
      <w:r>
        <w:rPr>
          <w:rFonts w:ascii="Times New Roman" w:hAnsi="Times New Roman"/>
          <w:color w:val="000000"/>
          <w:sz w:val="20"/>
        </w:rPr>
        <w:t xml:space="preserve">4.3.      </w:t>
      </w:r>
      <w:r>
        <w:rPr>
          <w:rFonts w:ascii="Times New Roman" w:hAnsi="Times New Roman"/>
          <w:b/>
          <w:color w:val="000000"/>
          <w:sz w:val="20"/>
          <w:u w:val="single"/>
        </w:rPr>
        <w:t>Securities Laws Disclosure; Publicity</w:t>
      </w:r>
      <w:r>
        <w:rPr>
          <w:rFonts w:ascii="Times New Roman" w:hAnsi="Times New Roman"/>
          <w:color w:val="000000"/>
          <w:sz w:val="20"/>
        </w:rPr>
        <w:t xml:space="preserve">. The Company shall (a) by the Disclosure Time, issue a press release disclosing the material terms of the transactions contemplated hereby, and (b) </w:t>
      </w:r>
      <w:bookmarkStart w:id="541" w:name="OLE_LINK571"/>
      <w:bookmarkEnd w:id="541"/>
      <w:r>
        <w:rPr>
          <w:rFonts w:ascii="Times New Roman" w:hAnsi="Times New Roman"/>
          <w:color w:val="000000"/>
          <w:sz w:val="20"/>
        </w:rPr>
        <w:t>promptly furnish to the Commission a Report of Foreign Private Issuer on Form 6-K, including the Transaction Documents as exhibits thereto, with the Commission.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(including, without limitation, the Placement Agent).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(including, without limitation, the Placement Agent), employees or Affiliates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to the extent required by federal securities law in connection with the filing of the Final Prospectus to the Registration Statement and the final Transaction Documents with the Commission, and (b) to the extent such disclosure is required by law or Trading Market regulations, in which such cases the Company shall (x) obtain prior advice of competent counsel that such disclosure is required, (y) provide the Purchasers with prior notice of such disclosure permitted under this Section 4.3 and (z) reasonably cooperate with such Purchasers regarding such disclosure.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bookmarkStart w:id="542" w:name="z_Ref151289102"/>
      <w:bookmarkEnd w:id="542"/>
      <w:r>
        <w:rPr>
          <w:rFonts w:ascii="Times New Roman" w:hAnsi="Times New Roman"/>
          <w:color w:val="000000"/>
          <w:sz w:val="20"/>
        </w:rPr>
        <w:t xml:space="preserve">4.4.     </w:t>
      </w:r>
      <w:r>
        <w:rPr>
          <w:rFonts w:ascii="Times New Roman" w:hAnsi="Times New Roman"/>
          <w:b/>
          <w:color w:val="000000"/>
          <w:sz w:val="20"/>
          <w:u w:val="single"/>
        </w:rPr>
        <w:t>Shareholder Rights Plan</w:t>
      </w:r>
      <w:r>
        <w:rPr>
          <w:rFonts w:ascii="Times New Roman" w:hAnsi="Times New Roman"/>
          <w:color w:val="000000"/>
          <w:sz w:val="20"/>
        </w:rPr>
        <w:t>. No claim will be made or enforced by the Company or, with the consent of the Company, any other Person, that any Purchaser is an “</w:t>
      </w:r>
      <w:r>
        <w:rPr>
          <w:rFonts w:ascii="Times New Roman" w:hAnsi="Times New Roman"/>
          <w:b/>
          <w:color w:val="000000"/>
          <w:sz w:val="20"/>
          <w:u w:val="single"/>
        </w:rPr>
        <w:t>Acquiring Person</w:t>
      </w:r>
      <w:r>
        <w:rPr>
          <w:rFonts w:ascii="Times New Roman" w:hAnsi="Times New Roman"/>
          <w:color w:val="000000"/>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4.5.      </w:t>
      </w:r>
      <w:r>
        <w:rPr>
          <w:rFonts w:ascii="Times New Roman" w:hAnsi="Times New Roman"/>
          <w:b/>
          <w:color w:val="000000"/>
          <w:sz w:val="20"/>
          <w:u w:val="single"/>
        </w:rPr>
        <w:t>Non-Public Information</w:t>
      </w:r>
      <w:r>
        <w:rPr>
          <w:rFonts w:ascii="Times New Roman" w:hAnsi="Times New Roman"/>
          <w:color w:val="000000"/>
          <w:sz w:val="20"/>
        </w:rPr>
        <w:t xml:space="preserve">. Except with respect to the material terms and conditions of the transactions contemplated by the Transaction Documents, which shall be disclosed pursuant to Section 4.3,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w:t>
      </w:r>
      <w:bookmarkStart w:id="543" w:name="OLE_LINK2021"/>
      <w:bookmarkStart w:id="544" w:name="OLE_LINK201"/>
      <w:bookmarkStart w:id="545" w:name="z_Hlk123232262"/>
      <w:bookmarkEnd w:id="543"/>
      <w:bookmarkEnd w:id="544"/>
      <w:bookmarkEnd w:id="545"/>
      <w:r>
        <w:rPr>
          <w:rFonts w:ascii="Times New Roman" w:hAnsi="Times New Roman"/>
          <w:color w:val="000000"/>
          <w:sz w:val="20"/>
        </w:rPr>
        <w:t>furnish such notice to the Commission pursuant to a Report of Foreign Private Issuer on Form 6-K. The Company understands and confirms that each Purchaser shall be relying on the foregoing covenant in effecting transactions in securities of the Company.</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4.6.      </w:t>
      </w:r>
      <w:r>
        <w:rPr>
          <w:rFonts w:ascii="Times New Roman" w:hAnsi="Times New Roman"/>
          <w:b/>
          <w:color w:val="000000"/>
          <w:sz w:val="20"/>
          <w:u w:val="single"/>
        </w:rPr>
        <w:t>Use of Proceeds</w:t>
      </w:r>
      <w:r>
        <w:rPr>
          <w:rFonts w:ascii="Times New Roman" w:hAnsi="Times New Roman"/>
          <w:color w:val="000000"/>
          <w:sz w:val="20"/>
        </w:rPr>
        <w:t>. The Company shall use the net proceeds from the sale of the Securities hereunder for the purposes as disclosed in the Final Prospectus in all material respects. The Company shall not use such proceeds: (a) for the satisfaction of any portion of the Company’s debt (other than payment of trade payables in the ordinary course of the Company’s business and prior practices), (b) for the redemption of any Ordinary Shares or Ordinary Share Equivalents, (c) for the settlement of any outstanding litigation or (d) in violation of FCPA or OFAC regulations.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bookmarkStart w:id="546" w:name="z_Ref151289839"/>
      <w:bookmarkEnd w:id="546"/>
      <w:r>
        <w:rPr>
          <w:rFonts w:ascii="Times New Roman" w:hAnsi="Times New Roman"/>
          <w:color w:val="000000"/>
          <w:sz w:val="20"/>
        </w:rPr>
        <w:t xml:space="preserve">4.7.      </w:t>
      </w:r>
      <w:r>
        <w:rPr>
          <w:rFonts w:ascii="Times New Roman" w:hAnsi="Times New Roman"/>
          <w:b/>
          <w:color w:val="000000"/>
          <w:sz w:val="20"/>
          <w:u w:val="single"/>
        </w:rPr>
        <w:t>Indemnification of each Purchaser</w:t>
      </w:r>
      <w:r>
        <w:rPr>
          <w:rFonts w:ascii="Times New Roman" w:hAnsi="Times New Roman"/>
          <w:color w:val="000000"/>
          <w:sz w:val="20"/>
        </w:rPr>
        <w:t>. Subject to the provisions of this Section 4.7,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hAnsi="Times New Roman"/>
          <w:b/>
          <w:color w:val="000000"/>
          <w:sz w:val="20"/>
          <w:u w:val="single"/>
        </w:rPr>
        <w:t>Purchaser Party</w:t>
      </w:r>
      <w:r>
        <w:rPr>
          <w:rFonts w:ascii="Times New Roman" w:hAnsi="Times New Roman"/>
          <w:color w:val="000000"/>
          <w:sz w:val="20"/>
        </w:rPr>
        <w:t xml:space="preserve">”)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w:t>
      </w:r>
      <w:bookmarkStart w:id="547" w:name="OLE_LINK426"/>
      <w:bookmarkStart w:id="548" w:name="OLE_LINK425"/>
      <w:bookmarkEnd w:id="547"/>
      <w:bookmarkEnd w:id="548"/>
      <w:r>
        <w:rPr>
          <w:rFonts w:ascii="Times New Roman" w:hAnsi="Times New Roman"/>
          <w:color w:val="000000"/>
          <w:sz w:val="20"/>
        </w:rPr>
        <w:t>any action instituted against the Purchaser Parties in any capacity (including a Purchaser Party’s status as an investor), or any of them or their respective Affiliates, by the Company or any shareholder of the Company who is not an Affiliate of such Purchaser Party, arising out of or relating to any of the transactions contemplated by the Transaction Documents</w:t>
      </w:r>
      <w:bookmarkStart w:id="549" w:name="OLE_LINK428"/>
      <w:bookmarkStart w:id="550" w:name="OLE_LINK427"/>
      <w:bookmarkEnd w:id="549"/>
      <w:bookmarkEnd w:id="550"/>
      <w:r>
        <w:rPr>
          <w:rFonts w:ascii="Times New Roman" w:hAnsi="Times New Roman"/>
          <w:color w:val="000000"/>
          <w:sz w:val="20"/>
        </w:rPr>
        <w:t xml:space="preserve">; or (c) in connection with the Registration Statement, Prospectus or Final Prospectus, the Company will indemnify each Purchaser Party from and against any and all losses, claims, damages, liabilities, costs (including, without limitation, reasonable attorneys’ fees) and expenses, as incurred, arising out of or relating to (i) any untrue statement of a material fact contained in the Registration Statement, Prospectus, Final Prospectus or any form of prospectus or in any amendment or supplement thereto or in any preliminary prospectus, or arising out of or relating to any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by the Company of the Securities Act, the Exchange Act or any state securities law, or any rule or regulation thereunder in connection therewith; provided, however, that such indemnification with respect of each clause (a), (b) and (c) shall not cover any loss, claim, damage or liability to the extent it is finally judicially determined to be attributable to (x) such Purchaser Party’s material breach of any of the representations, warranties or covenants made by such Purchaser Party in any Transaction Document, or (y) any conduct by such Purchaser Party which is finally judicially determined to constitute fraud, bad faith, gross negligence or willful misconduct, or (z) any violation by such Purchaser Party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for any settlement by a Purchaser Party effected without the Company’s prior written consent, which shall not be unreasonably withheld or delayed. </w:t>
      </w:r>
      <w:bookmarkStart w:id="551" w:name="OLE_LINK881"/>
      <w:bookmarkStart w:id="552" w:name="OLE_LINK87"/>
      <w:bookmarkEnd w:id="551"/>
      <w:bookmarkEnd w:id="552"/>
      <w:r>
        <w:rPr>
          <w:rFonts w:ascii="Times New Roman" w:hAnsi="Times New Roman"/>
          <w:color w:val="000000"/>
          <w:sz w:val="20"/>
        </w:rPr>
        <w:t>In addition, if any Purchaser Party takes actions to collect amounts due under any Transaction Documents or to enforce the provisions of any Transaction Documents, then the Company shall pay the costs incurred by such Purchaser Party for such collection, enforcement or action, including, but not limited to, reasonable attorneys’ fees and disbursements. The indemnification and other payment obligations required by this Section 4.7 shall be made by periodic payments of the amount thereof during the course of the investigation, defense, collection, enforcement or action, as and when bills are received or are incurred; provided, however, that if any Purchaser Party is finally judicially determined not to be entitled to indemnification or payment under this Section 4.7, such Purchaser Party shall promptly reimburse the Company for any payments that are advanced under this sentence.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bookmarkStart w:id="553" w:name="OLE_LINK344"/>
      <w:bookmarkEnd w:id="553"/>
      <w:r>
        <w:rPr>
          <w:rFonts w:ascii="Times New Roman" w:hAnsi="Times New Roman"/>
          <w:color w:val="000000"/>
          <w:sz w:val="20"/>
        </w:rPr>
        <w:t xml:space="preserve">4.8.      </w:t>
      </w:r>
      <w:r>
        <w:rPr>
          <w:rFonts w:ascii="Times New Roman" w:hAnsi="Times New Roman"/>
          <w:b/>
          <w:color w:val="000000"/>
          <w:sz w:val="20"/>
          <w:u w:val="single"/>
        </w:rPr>
        <w:t>Listing of Ordinary Shares</w:t>
      </w:r>
      <w:r>
        <w:rPr>
          <w:rFonts w:ascii="Times New Roman" w:hAnsi="Times New Roman"/>
          <w:color w:val="000000"/>
          <w:sz w:val="20"/>
        </w:rPr>
        <w:t xml:space="preserve">. </w:t>
      </w:r>
      <w:bookmarkStart w:id="554" w:name="OLE_LINK190"/>
      <w:bookmarkStart w:id="555" w:name="OLE_LINK189"/>
      <w:bookmarkStart w:id="556" w:name="OLE_LINK188"/>
      <w:bookmarkEnd w:id="554"/>
      <w:bookmarkEnd w:id="555"/>
      <w:bookmarkEnd w:id="556"/>
      <w:r>
        <w:rPr>
          <w:rFonts w:ascii="Times New Roman" w:hAnsi="Times New Roman"/>
          <w:color w:val="000000"/>
          <w:sz w:val="20"/>
        </w:rPr>
        <w:t>The Company hereby agrees to use its reasonable best efforts to maintain the listing or quotation of the Ordinary Shares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Ordinary Shares traded on any other Trading Market, it will then include in such application all of the Shares, and will take such other action as is reasonably necessary to cause all of the Shares to be listed or quoted on such other Trading Market as promptly as possible. The Company will then take all action reasonably necessary to continue the listing and trading of its Ordinary Shares on a Trading Market and will comply in all respects with the Company’s reporting, filing and other obligations under the bylaws or rules of the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4.9.      </w:t>
      </w:r>
      <w:r>
        <w:rPr>
          <w:rFonts w:ascii="Times New Roman" w:hAnsi="Times New Roman"/>
          <w:b/>
          <w:color w:val="000000"/>
          <w:sz w:val="20"/>
          <w:u w:val="single"/>
        </w:rPr>
        <w:t>[intentionally omitted.]</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4.10.   </w:t>
      </w:r>
      <w:r>
        <w:rPr>
          <w:rFonts w:ascii="Times New Roman" w:hAnsi="Times New Roman"/>
          <w:b/>
          <w:color w:val="000000"/>
          <w:sz w:val="20"/>
          <w:u w:val="single"/>
        </w:rPr>
        <w:t>Equal Treatment of Purchasers</w:t>
      </w:r>
      <w:r>
        <w:rPr>
          <w:rFonts w:ascii="Times New Roman" w:hAnsi="Times New Roman"/>
          <w:color w:val="000000"/>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4.11.     </w:t>
      </w:r>
      <w:r>
        <w:rPr>
          <w:rFonts w:ascii="Times New Roman" w:hAnsi="Times New Roman"/>
          <w:b/>
          <w:color w:val="000000"/>
          <w:sz w:val="20"/>
          <w:u w:val="single"/>
        </w:rPr>
        <w:t>Certain Transactions and Confidentiality</w:t>
      </w:r>
      <w:r>
        <w:rPr>
          <w:rFonts w:ascii="Times New Roman" w:hAnsi="Times New Roman"/>
          <w:color w:val="000000"/>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4.3. Each Purchaser, severally and not jointly with the other Purchasers, covenants that until such time as the transactions contemplated by this Agreement are publicly disclosed by the Company pursuant to the initial press release as described in Section 4.3,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4.3,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4.3 and (iii) no Purchaser shall have any duty of confidentiality or duty not to trade in the securities of the Company to the Company, any of its Subsidiaries, or any of their respective officers, directors, employees, agents or Affiliates after the issuance of the initial press release as described in Section 4.3.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557" w:name="z_Ref151290708"/>
      <w:bookmarkEnd w:id="557"/>
      <w:r>
        <w:rPr>
          <w:rFonts w:ascii="Times New Roman" w:hAnsi="Times New Roman"/>
          <w:color w:val="000000"/>
          <w:sz w:val="20"/>
        </w:rPr>
        <w:t xml:space="preserve">4.12.    </w:t>
      </w:r>
      <w:r>
        <w:rPr>
          <w:rFonts w:ascii="Times New Roman" w:hAnsi="Times New Roman"/>
          <w:b/>
          <w:color w:val="000000"/>
          <w:sz w:val="20"/>
          <w:u w:val="single"/>
        </w:rPr>
        <w:t>Acknowledgment of Dilution</w:t>
      </w:r>
      <w:r>
        <w:rPr>
          <w:rFonts w:ascii="Times New Roman" w:hAnsi="Times New Roman"/>
          <w:color w:val="000000"/>
          <w:sz w:val="20"/>
        </w:rPr>
        <w:t>. The Company acknowledges that the issuance of the Securities may result in dilution of the outstanding Ordinary Shares, which dilution may be substantial under certain market conditions. The Company further acknowledges that its obligations under the Transaction Documents, including, without limitation, its obligation to issue the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shareholders of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4.13.     </w:t>
      </w:r>
      <w:r>
        <w:rPr>
          <w:rFonts w:ascii="Times New Roman" w:hAnsi="Times New Roman"/>
          <w:b/>
          <w:color w:val="000000"/>
          <w:sz w:val="20"/>
          <w:u w:val="single"/>
        </w:rPr>
        <w:t>Lock-Up Agreements</w:t>
      </w:r>
      <w:r>
        <w:rPr>
          <w:rFonts w:ascii="Times New Roman" w:hAnsi="Times New Roman"/>
          <w:color w:val="000000"/>
          <w:sz w:val="20"/>
        </w:rPr>
        <w:t xml:space="preserve">. The Company shall not amend, modify, waive or terminate any provision of any of the Lock-Up Agreements </w:t>
      </w:r>
      <w:bookmarkStart w:id="558" w:name="OLE_LINK921"/>
      <w:bookmarkStart w:id="559" w:name="OLE_LINK91"/>
      <w:bookmarkEnd w:id="558"/>
      <w:bookmarkEnd w:id="559"/>
      <w:r>
        <w:rPr>
          <w:rFonts w:ascii="Times New Roman" w:hAnsi="Times New Roman"/>
          <w:color w:val="000000"/>
          <w:sz w:val="20"/>
        </w:rPr>
        <w:t>(and any lock-up agreements contemplated in the Lock-Up Agreements) except to extend the term of the lock-up period and shall enforce the provisions of each Lock-Up Agreement (and any lock-up agreements contemplated in the Lock-Up Agreements) in accordance with its terms. If any party to a Lock-Up Agreement (and any lock-up agreements contemplated in the Lock-Up Agreements) breaches any provision of a Lock-Up Agreement, the Company shall promptly use its  best efforts to seek specific performance of the terms of such Lock-Up Agreement (and any lock-up agreements contemplated in the Lock-Up Agreements).</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560" w:name="z_Ref151289709"/>
      <w:bookmarkEnd w:id="560"/>
      <w:r>
        <w:rPr>
          <w:rFonts w:ascii="Times New Roman" w:hAnsi="Times New Roman"/>
          <w:color w:val="000000"/>
          <w:sz w:val="20"/>
        </w:rPr>
        <w:t xml:space="preserve">4.14.    </w:t>
      </w:r>
      <w:r>
        <w:rPr>
          <w:rFonts w:ascii="Times New Roman" w:hAnsi="Times New Roman"/>
          <w:b/>
          <w:color w:val="000000"/>
          <w:sz w:val="20"/>
          <w:u w:val="single"/>
        </w:rPr>
        <w:t>QEF Election</w:t>
      </w:r>
      <w:r>
        <w:rPr>
          <w:rFonts w:ascii="Times New Roman" w:hAnsi="Times New Roman"/>
          <w:color w:val="000000"/>
          <w:sz w:val="20"/>
        </w:rPr>
        <w:t>. If a Purchaser so requests in writing for any taxable year of the Company, the Company, after consulting with its outside accounting firm, shall within fifteen (15) Business Days notify such Purchaser in writing that either (A) neither the Company nor any of its Subsidiaries was a “passive foreign investment company” as defined in Section 1297 of the Code (“</w:t>
      </w:r>
      <w:r>
        <w:rPr>
          <w:rFonts w:ascii="Times New Roman" w:hAnsi="Times New Roman"/>
          <w:b/>
          <w:color w:val="000000"/>
          <w:sz w:val="20"/>
          <w:u w:val="single"/>
        </w:rPr>
        <w:t>PFIC</w:t>
      </w:r>
      <w:r>
        <w:rPr>
          <w:rFonts w:ascii="Times New Roman" w:hAnsi="Times New Roman"/>
          <w:color w:val="000000"/>
          <w:sz w:val="20"/>
        </w:rPr>
        <w:t>”) for such year, or (B) the Company and/or one or more of its Subsidiaries was a PFIC for such year, in which event the Company shall provide to such Purchaser, upon the reasonable written request of such Purchaser, the information reasonably necessary to allow such Purchaser to elect to treat each of the Company and any applicable Subsidiaries (if any), respectively, as a “qualified electing fund” (within the meaning of Section 1295 of the Code for such year, including a “PFIC Annual Information Statement” as described in Treasury Regulation Section 1.1295-1(g)(1) (or any successor Treasury Regulation).</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561" w:name="OLE_LINK250"/>
      <w:bookmarkStart w:id="562" w:name="OLE_LINK252"/>
      <w:bookmarkEnd w:id="561"/>
      <w:bookmarkEnd w:id="562"/>
      <w:r>
        <w:rPr>
          <w:rFonts w:ascii="Times New Roman" w:hAnsi="Times New Roman"/>
          <w:color w:val="000000"/>
          <w:sz w:val="20"/>
        </w:rPr>
        <w:t xml:space="preserve">4.15.    </w:t>
      </w:r>
      <w:r>
        <w:rPr>
          <w:rFonts w:ascii="Times New Roman" w:hAnsi="Times New Roman"/>
          <w:b/>
          <w:color w:val="000000"/>
          <w:sz w:val="20"/>
          <w:u w:val="single"/>
        </w:rPr>
        <w:t>Reservation of Ordinary Shares</w:t>
      </w:r>
      <w:r>
        <w:rPr>
          <w:rFonts w:ascii="Times New Roman" w:hAnsi="Times New Roman"/>
          <w:color w:val="000000"/>
          <w:sz w:val="20"/>
        </w:rPr>
        <w:t xml:space="preserve">. As of the date hereof, the Company has reserved and the Company shall continue to reserve and keep available at all times, free of preemptive rights, a sufficient number of </w:t>
      </w:r>
      <w:bookmarkStart w:id="563" w:name="OLE_LINK249"/>
      <w:bookmarkEnd w:id="563"/>
      <w:r>
        <w:rPr>
          <w:rFonts w:ascii="Times New Roman" w:hAnsi="Times New Roman"/>
          <w:color w:val="000000"/>
          <w:sz w:val="20"/>
        </w:rPr>
        <w:t xml:space="preserve">Ordinary Shares for the purpose of enabling the Company to issue </w:t>
      </w:r>
      <w:bookmarkStart w:id="564" w:name="OLE_LINK235"/>
      <w:bookmarkEnd w:id="564"/>
      <w:r>
        <w:rPr>
          <w:rFonts w:ascii="Times New Roman" w:hAnsi="Times New Roman"/>
          <w:color w:val="000000"/>
          <w:sz w:val="20"/>
        </w:rPr>
        <w:t>Shares pursuant to this Agreement.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65" w:name="zf10ad2b787164326b3fd92f8304f98b1"/>
      <w:bookmarkStart w:id="566" w:name="zf10ad2b787164326b3fd92f8304f98b1"/>
      <w:bookmarkEnd w:id="566"/>
    </w:p>
    <w:tbl>
      <w:tblPr>
        <w:tblW w:w="1495" w:type="dxa"/>
        <w:jc w:val="left"/>
        <w:tblInd w:w="0" w:type="dxa"/>
        <w:tblLayout w:type="fixed"/>
        <w:tblCellMar>
          <w:top w:w="0" w:type="dxa"/>
          <w:left w:w="0" w:type="dxa"/>
          <w:bottom w:w="0" w:type="dxa"/>
          <w:right w:w="0" w:type="dxa"/>
        </w:tblCellMar>
      </w:tblPr>
      <w:tblGrid>
        <w:gridCol w:w="215"/>
        <w:gridCol w:w="1280"/>
      </w:tblGrid>
      <w:tr>
        <w:trPr/>
        <w:tc>
          <w:tcPr>
            <w:tcW w:w="215" w:type="dxa"/>
            <w:tcBorders/>
            <w:vAlign w:val="center"/>
          </w:tcPr>
          <w:p>
            <w:pPr>
              <w:pStyle w:val="TableContents"/>
              <w:bidi w:val="0"/>
              <w:spacing w:before="0" w:after="283"/>
              <w:jc w:val="left"/>
              <w:rPr>
                <w:b/>
              </w:rPr>
            </w:pPr>
            <w:r>
              <w:rPr>
                <w:b/>
              </w:rPr>
              <w:t>5.</w:t>
            </w:r>
          </w:p>
        </w:tc>
        <w:tc>
          <w:tcPr>
            <w:tcW w:w="1280" w:type="dxa"/>
            <w:tcBorders/>
            <w:vAlign w:val="center"/>
          </w:tcPr>
          <w:p>
            <w:pPr>
              <w:pStyle w:val="TableContents"/>
              <w:bidi w:val="0"/>
              <w:spacing w:before="0" w:after="0"/>
              <w:jc w:val="both"/>
              <w:rPr>
                <w:sz w:val="24"/>
              </w:rPr>
            </w:pPr>
            <w:r>
              <w:rPr>
                <w:b/>
                <w:sz w:val="20"/>
                <w:u w:val="single"/>
              </w:rPr>
              <w:t>Miscellaneous</w:t>
            </w:r>
            <w:r>
              <w:rPr>
                <w:sz w:val="20"/>
              </w:rPr>
              <w:t>.</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5.1.      </w:t>
      </w:r>
      <w:r>
        <w:rPr>
          <w:rFonts w:ascii="Times New Roman" w:hAnsi="Times New Roman"/>
          <w:b/>
          <w:color w:val="000000"/>
          <w:sz w:val="20"/>
          <w:u w:val="single"/>
        </w:rPr>
        <w:t>Termination</w:t>
      </w:r>
      <w:r>
        <w:rPr>
          <w:rFonts w:ascii="Times New Roman" w:hAnsi="Times New Roman"/>
          <w:color w:val="000000"/>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 such termination will affect the right of any party to sue for any breach by any other party (or parties). This Agreement may be terminated by the Company by written notice to the other parties, if the Closing has not been consummated on or before the fifth (5th) Trading Day following the date hereof;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no such termination will affect the right of any party to sue for any breach by any other party (or parties).</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5.2.      </w:t>
      </w:r>
      <w:r>
        <w:rPr>
          <w:rFonts w:ascii="Times New Roman" w:hAnsi="Times New Roman"/>
          <w:b/>
          <w:color w:val="000000"/>
          <w:sz w:val="20"/>
          <w:u w:val="single"/>
        </w:rPr>
        <w:t>Fees and Expenses</w:t>
      </w:r>
      <w:r>
        <w:rPr>
          <w:rFonts w:ascii="Times New Roman" w:hAnsi="Times New Roman"/>
          <w:color w:val="000000"/>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same-Calendar Day processing of any instruction letter delivered by the Company), stamp taxes and other taxes and duties levied in connection with the delivery of any Securities to the Purchasers.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5.3.      </w:t>
      </w:r>
      <w:r>
        <w:rPr>
          <w:rFonts w:ascii="Times New Roman" w:hAnsi="Times New Roman"/>
          <w:b/>
          <w:color w:val="000000"/>
          <w:sz w:val="20"/>
          <w:u w:val="single"/>
        </w:rPr>
        <w:t>Entire Agreement</w:t>
      </w:r>
      <w:r>
        <w:rPr>
          <w:rFonts w:ascii="Times New Roman" w:hAnsi="Times New Roman"/>
          <w:color w:val="000000"/>
          <w:sz w:val="20"/>
        </w:rPr>
        <w:t>. The Transaction Documents, together with the exhibits and schedules thereto, the Prospectus and the Final Prospectus,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jc w:val="left"/>
        <w:rPr/>
      </w:pPr>
      <w:r>
        <w:rPr/>
      </w:r>
    </w:p>
    <w:p>
      <w:pPr>
        <w:pStyle w:val="TextBody"/>
        <w:bidi w:val="0"/>
        <w:spacing w:lineRule="auto" w:line="240" w:before="0" w:after="0"/>
        <w:ind w:left="720" w:right="0" w:hanging="0"/>
        <w:jc w:val="both"/>
        <w:rPr>
          <w:rFonts w:ascii="Times New Roman" w:hAnsi="Times New Roman"/>
          <w:color w:val="000000"/>
          <w:sz w:val="20"/>
        </w:rPr>
      </w:pPr>
      <w:r>
        <w:rPr>
          <w:rFonts w:ascii="Times New Roman" w:hAnsi="Times New Roman"/>
          <w:color w:val="000000"/>
          <w:sz w:val="20"/>
        </w:rPr>
        <w:t xml:space="preserve">5.4.     </w:t>
      </w:r>
      <w:r>
        <w:rPr>
          <w:rFonts w:ascii="Times New Roman" w:hAnsi="Times New Roman"/>
          <w:b/>
          <w:color w:val="000000"/>
          <w:sz w:val="20"/>
          <w:u w:val="single"/>
        </w:rPr>
        <w:t>Notices</w:t>
      </w:r>
      <w:r>
        <w:rPr>
          <w:rFonts w:ascii="Times New Roman" w:hAnsi="Times New Roman"/>
          <w:color w:val="000000"/>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 the email address as set forth on the signature pages attached hereto at or prior to 5:30 p.m. (New York City time) on a Trading Day, (b) the next Trading Day after the time of transmission, if such notice or communication is delivered via email at the email address as set forth on the signature pages attached hereto on a Calendar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of the Subsidiaries, the Company shall simultaneously furnish such notice to the Commission pursuant to a Report of Foreign Private Issuer on Form 6-K.</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567" w:name="z_Ref151291077"/>
      <w:bookmarkEnd w:id="567"/>
      <w:r>
        <w:rPr>
          <w:rFonts w:ascii="Times New Roman" w:hAnsi="Times New Roman"/>
          <w:color w:val="000000"/>
          <w:sz w:val="20"/>
        </w:rPr>
        <w:t xml:space="preserve">5.5.      </w:t>
      </w:r>
      <w:r>
        <w:rPr>
          <w:rFonts w:ascii="Times New Roman" w:hAnsi="Times New Roman"/>
          <w:b/>
          <w:color w:val="000000"/>
          <w:sz w:val="20"/>
          <w:u w:val="single"/>
        </w:rPr>
        <w:t>Amendments; Waivers</w:t>
      </w:r>
      <w:r>
        <w:rPr>
          <w:rFonts w:ascii="Times New Roman" w:hAnsi="Times New Roman"/>
          <w:color w:val="000000"/>
          <w:sz w:val="20"/>
        </w:rPr>
        <w:t>. No provision of this Agreement may be waived, modified, supplemented or amended except in a written instrument signed, in the case of an amendment, by the Company and Purchasers that purchased at least 50.1% in interest of the Shares based on the initial Subscription Amounts hereunder (or, prior to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5.6.      </w:t>
      </w:r>
      <w:r>
        <w:rPr>
          <w:rFonts w:ascii="Times New Roman" w:hAnsi="Times New Roman"/>
          <w:b/>
          <w:color w:val="000000"/>
          <w:sz w:val="20"/>
          <w:u w:val="single"/>
        </w:rPr>
        <w:t>Headings</w:t>
      </w:r>
      <w:r>
        <w:rPr>
          <w:rFonts w:ascii="Times New Roman" w:hAnsi="Times New Roman"/>
          <w:color w:val="000000"/>
          <w:sz w:val="20"/>
        </w:rPr>
        <w:t>. The headings herein are for convenience only, do not constitute a part of this Agreement and shall not be deemed to limit or affect any of the provisions hereof.</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5.7.      </w:t>
      </w:r>
      <w:r>
        <w:rPr>
          <w:rFonts w:ascii="Times New Roman" w:hAnsi="Times New Roman"/>
          <w:b/>
          <w:color w:val="000000"/>
          <w:sz w:val="20"/>
          <w:u w:val="single"/>
        </w:rPr>
        <w:t>Successors and Assigns</w:t>
      </w:r>
      <w:r>
        <w:rPr>
          <w:rFonts w:ascii="Times New Roman" w:hAnsi="Times New Roman"/>
          <w:color w:val="000000"/>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the Company has given its prior written consent to such assignment or transfer, and that such transferee agrees in writing to be bound, with respect to the transferred Securities, by the provisions of the Transaction Documents that apply to the “Purchasers.”</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bookmarkStart w:id="568" w:name="z_Ref151291155"/>
      <w:bookmarkEnd w:id="568"/>
      <w:r>
        <w:rPr>
          <w:rFonts w:ascii="Times New Roman" w:hAnsi="Times New Roman"/>
          <w:color w:val="000000"/>
          <w:sz w:val="20"/>
        </w:rPr>
        <w:t xml:space="preserve">5.8.      </w:t>
      </w:r>
      <w:r>
        <w:rPr>
          <w:rFonts w:ascii="Times New Roman" w:hAnsi="Times New Roman"/>
          <w:b/>
          <w:color w:val="000000"/>
          <w:sz w:val="20"/>
          <w:u w:val="single"/>
        </w:rPr>
        <w:t>No Third-Party Beneficiaries</w:t>
      </w:r>
      <w:r>
        <w:rPr>
          <w:rFonts w:ascii="Times New Roman" w:hAnsi="Times New Roman"/>
          <w:color w:val="000000"/>
          <w:sz w:val="20"/>
        </w:rPr>
        <w:t>. This Agreement is intended for the benefit of the parties hereto and their respective successors and permitted assigns and is not for the benefit of, nor may any provision hereof be enforced by, any other Person, except as otherwise set forth in Section 4.7 and this Section 5.8. Notwithstanding the foregoing, the Placement Agent shall be a third party beneficiary of the representations and warranties of the Company in Section 3.1 and the representations and warranties of the Purchasers in Section 3.2.</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5.9.      </w:t>
      </w:r>
      <w:r>
        <w:rPr>
          <w:rFonts w:ascii="Times New Roman" w:hAnsi="Times New Roman"/>
          <w:b/>
          <w:color w:val="000000"/>
          <w:sz w:val="20"/>
          <w:u w:val="single"/>
        </w:rPr>
        <w:t>Governing Law</w:t>
      </w:r>
      <w:r>
        <w:rPr>
          <w:rFonts w:ascii="Times New Roman" w:hAnsi="Times New Roman"/>
          <w:color w:val="000000"/>
          <w:sz w:val="20"/>
        </w:rPr>
        <w:t>. All questions concerning the construction, validity, enforcement and interpretation of the Transaction Documents shall be governed by and construed and enforced in accordance with the internal law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and County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4.7,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5.10.    </w:t>
      </w:r>
      <w:r>
        <w:rPr>
          <w:rFonts w:ascii="Times New Roman" w:hAnsi="Times New Roman"/>
          <w:b/>
          <w:color w:val="000000"/>
          <w:sz w:val="20"/>
          <w:u w:val="single"/>
        </w:rPr>
        <w:t>Survival</w:t>
      </w:r>
      <w:r>
        <w:rPr>
          <w:rFonts w:ascii="Times New Roman" w:hAnsi="Times New Roman"/>
          <w:color w:val="000000"/>
          <w:sz w:val="20"/>
        </w:rPr>
        <w:t>. The representations and warranties contained herein shall survive the Closing and the delivery of the Securities for a period of two (2) years from the Closing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5.11.    </w:t>
      </w:r>
      <w:r>
        <w:rPr>
          <w:rFonts w:ascii="Times New Roman" w:hAnsi="Times New Roman"/>
          <w:b/>
          <w:color w:val="000000"/>
          <w:sz w:val="20"/>
          <w:u w:val="single"/>
        </w:rPr>
        <w:t>Execution</w:t>
      </w:r>
      <w:r>
        <w:rPr>
          <w:rFonts w:ascii="Times New Roman" w:hAnsi="Times New Roman"/>
          <w:color w:val="000000"/>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If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5.12.   </w:t>
      </w:r>
      <w:r>
        <w:rPr>
          <w:rFonts w:ascii="Times New Roman" w:hAnsi="Times New Roman"/>
          <w:b/>
          <w:color w:val="000000"/>
          <w:sz w:val="20"/>
          <w:u w:val="single"/>
        </w:rPr>
        <w:t>Severability</w:t>
      </w:r>
      <w:r>
        <w:rPr>
          <w:rFonts w:ascii="Times New Roman" w:hAnsi="Times New Roman"/>
          <w:color w:val="000000"/>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5.13.   </w:t>
      </w:r>
      <w:r>
        <w:rPr>
          <w:rFonts w:ascii="Times New Roman" w:hAnsi="Times New Roman"/>
          <w:b/>
          <w:color w:val="000000"/>
          <w:sz w:val="20"/>
          <w:u w:val="single"/>
        </w:rPr>
        <w:t>Rescission and Withdrawal Right</w:t>
      </w:r>
      <w:r>
        <w:rPr>
          <w:rFonts w:ascii="Times New Roman" w:hAnsi="Times New Roman"/>
          <w:color w:val="000000"/>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5.14.    </w:t>
      </w:r>
      <w:r>
        <w:rPr>
          <w:rFonts w:ascii="Times New Roman" w:hAnsi="Times New Roman"/>
          <w:b/>
          <w:color w:val="000000"/>
          <w:sz w:val="20"/>
          <w:u w:val="single"/>
        </w:rPr>
        <w:t>Replacement of Securities</w:t>
      </w:r>
      <w:r>
        <w:rPr>
          <w:rFonts w:ascii="Times New Roman" w:hAnsi="Times New Roman"/>
          <w:color w:val="000000"/>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5.15.    </w:t>
      </w:r>
      <w:r>
        <w:rPr>
          <w:rFonts w:ascii="Times New Roman" w:hAnsi="Times New Roman"/>
          <w:b/>
          <w:color w:val="000000"/>
          <w:sz w:val="20"/>
          <w:u w:val="single"/>
        </w:rPr>
        <w:t>Remedies</w:t>
      </w:r>
      <w:r>
        <w:rPr>
          <w:rFonts w:ascii="Times New Roman" w:hAnsi="Times New Roman"/>
          <w:color w:val="000000"/>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5.16.    </w:t>
      </w:r>
      <w:r>
        <w:rPr>
          <w:rFonts w:ascii="Times New Roman" w:hAnsi="Times New Roman"/>
          <w:b/>
          <w:color w:val="000000"/>
          <w:sz w:val="20"/>
          <w:u w:val="single"/>
        </w:rPr>
        <w:t>Payment Set Aside</w:t>
      </w:r>
      <w:r>
        <w:rPr>
          <w:rFonts w:ascii="Times New Roman" w:hAnsi="Times New Roman"/>
          <w:color w:val="000000"/>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5.17.    </w:t>
      </w:r>
      <w:r>
        <w:rPr>
          <w:rFonts w:ascii="Times New Roman" w:hAnsi="Times New Roman"/>
          <w:b/>
          <w:color w:val="000000"/>
          <w:sz w:val="20"/>
          <w:u w:val="single"/>
        </w:rPr>
        <w:t>Independent Nature of Purchasers’ Obligations and Rights</w:t>
      </w:r>
      <w:r>
        <w:rPr>
          <w:rFonts w:ascii="Times New Roman" w:hAnsi="Times New Roman"/>
          <w:color w:val="000000"/>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to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5.18.    </w:t>
      </w:r>
      <w:r>
        <w:rPr>
          <w:rFonts w:ascii="Times New Roman" w:hAnsi="Times New Roman"/>
          <w:b/>
          <w:color w:val="000000"/>
          <w:sz w:val="20"/>
          <w:u w:val="single"/>
        </w:rPr>
        <w:t>Liquidated Damages</w:t>
      </w:r>
      <w:r>
        <w:rPr>
          <w:rFonts w:ascii="Times New Roman" w:hAnsi="Times New Roman"/>
          <w:color w:val="000000"/>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5.19.    </w:t>
      </w:r>
      <w:r>
        <w:rPr>
          <w:rFonts w:ascii="Times New Roman" w:hAnsi="Times New Roman"/>
          <w:b/>
          <w:color w:val="000000"/>
          <w:sz w:val="20"/>
          <w:u w:val="single"/>
        </w:rPr>
        <w:t>Saturdays, Sundays, Holidays, etc</w:t>
      </w:r>
      <w:r>
        <w:rPr>
          <w:rFonts w:ascii="Times New Roman" w:hAnsi="Times New Roman"/>
          <w:color w:val="000000"/>
          <w:sz w:val="20"/>
        </w:rPr>
        <w:t>. If the last or appointed Calendar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5.20.    </w:t>
      </w:r>
      <w:r>
        <w:rPr>
          <w:rFonts w:ascii="Times New Roman" w:hAnsi="Times New Roman"/>
          <w:b/>
          <w:color w:val="000000"/>
          <w:sz w:val="20"/>
          <w:u w:val="single"/>
        </w:rPr>
        <w:t>Construction</w:t>
      </w:r>
      <w:r>
        <w:rPr>
          <w:rFonts w:ascii="Times New Roman" w:hAnsi="Times New Roman"/>
          <w:color w:val="000000"/>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share splits, share dividends, share combinations and other similar transactions of the Ordinary Shares that occur after the date of this Agreement.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5.21.   </w:t>
      </w:r>
      <w:r>
        <w:rPr>
          <w:rFonts w:ascii="Times New Roman" w:hAnsi="Times New Roman"/>
          <w:b/>
          <w:color w:val="000000"/>
          <w:sz w:val="20"/>
          <w:u w:val="single"/>
        </w:rPr>
        <w:t>WAIVER OF JURY TRIAL. IN ANY ACTION, SUIT, OR PROCEEDING IN ANY JURISDICTION BROUGHT BY ANY PARTY AGAINST ANY OTHER PARTY, EACH OF THE PARTIES HERETO KNOWINGLY AND INTENTIONALLY, TO THE GREATEST EXTENT PERMITTED BY APPLICABLE LAW, HEREBY ABSOLUTELY, UNCONDITIONALLY, IRREVOCABLY AND EXPRESSLY WAIVES FOREVER TRIAL BY JURY.</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bookmarkStart w:id="569" w:name="OLE_LINK122"/>
      <w:bookmarkEnd w:id="569"/>
      <w:r>
        <w:rPr>
          <w:rFonts w:ascii="Times New Roman" w:hAnsi="Times New Roman"/>
          <w:i/>
          <w:color w:val="000000"/>
          <w:sz w:val="20"/>
        </w:rPr>
        <w:t>[WTF Securities Purchase Agreement Signature Pages Follow]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[WTF Securities Purchase Agreement – Company Signature Page]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firstLine="720"/>
        <w:jc w:val="both"/>
        <w:rPr/>
      </w:pPr>
      <w:r>
        <w:rPr/>
      </w:r>
    </w:p>
    <w:p>
      <w:pPr>
        <w:pStyle w:val="Normal"/>
        <w:bidi w:val="0"/>
        <w:spacing w:before="0" w:after="0"/>
        <w:jc w:val="left"/>
        <w:rPr>
          <w:sz w:val="4"/>
          <w:szCs w:val="4"/>
        </w:rPr>
      </w:pPr>
      <w:r>
        <w:rPr>
          <w:sz w:val="4"/>
          <w:szCs w:val="4"/>
        </w:rPr>
      </w:r>
      <w:bookmarkStart w:id="570" w:name="z9ddfa91ba74143748d5bca51a8a23c7e"/>
      <w:bookmarkStart w:id="571" w:name="z9ddfa91ba74143748d5bca51a8a23c7e"/>
      <w:bookmarkEnd w:id="571"/>
    </w:p>
    <w:tbl>
      <w:tblPr>
        <w:tblW w:w="10205" w:type="dxa"/>
        <w:jc w:val="left"/>
        <w:tblInd w:w="0" w:type="dxa"/>
        <w:tblLayout w:type="fixed"/>
        <w:tblCellMar>
          <w:top w:w="0" w:type="dxa"/>
          <w:left w:w="0" w:type="dxa"/>
          <w:bottom w:w="0" w:type="dxa"/>
          <w:right w:w="0" w:type="dxa"/>
        </w:tblCellMar>
      </w:tblPr>
      <w:tblGrid>
        <w:gridCol w:w="764"/>
        <w:gridCol w:w="2260"/>
        <w:gridCol w:w="23"/>
        <w:gridCol w:w="7158"/>
      </w:tblGrid>
      <w:tr>
        <w:trPr/>
        <w:tc>
          <w:tcPr>
            <w:tcW w:w="3024" w:type="dxa"/>
            <w:gridSpan w:val="2"/>
            <w:tcBorders/>
            <w:vAlign w:val="center"/>
          </w:tcPr>
          <w:p>
            <w:pPr>
              <w:pStyle w:val="TableContents"/>
              <w:bidi w:val="0"/>
              <w:spacing w:before="0" w:after="0"/>
              <w:jc w:val="left"/>
              <w:rPr>
                <w:b/>
              </w:rPr>
            </w:pPr>
            <w:r>
              <w:rPr>
                <w:b/>
              </w:rPr>
              <w:t>WATON FINANCIAL LIMITED</w:t>
            </w:r>
          </w:p>
        </w:tc>
        <w:tc>
          <w:tcPr>
            <w:tcW w:w="23" w:type="dxa"/>
            <w:tcBorders/>
            <w:vAlign w:val="center"/>
          </w:tcPr>
          <w:p>
            <w:pPr>
              <w:pStyle w:val="TableContents"/>
              <w:bidi w:val="0"/>
              <w:spacing w:before="0" w:after="283"/>
              <w:jc w:val="left"/>
              <w:rPr/>
            </w:pPr>
            <w:r>
              <w:rPr/>
            </w:r>
          </w:p>
        </w:tc>
        <w:tc>
          <w:tcPr>
            <w:tcW w:w="7158" w:type="dxa"/>
            <w:tcBorders/>
            <w:vAlign w:val="center"/>
          </w:tcPr>
          <w:p>
            <w:pPr>
              <w:pStyle w:val="TableContents"/>
              <w:bidi w:val="0"/>
              <w:spacing w:before="0" w:after="0"/>
              <w:jc w:val="left"/>
              <w:rPr/>
            </w:pPr>
            <w:r>
              <w:rPr>
                <w:b/>
                <w:u w:val="single"/>
              </w:rPr>
              <w:t>Address for Notice</w:t>
            </w:r>
            <w:r>
              <w:rPr>
                <w:b/>
              </w:rPr>
              <w:t>:</w:t>
            </w:r>
            <w:r>
              <w:rPr/>
              <w:t> </w:t>
            </w:r>
            <w:r>
              <w:rPr>
                <w:b/>
              </w:rPr>
              <w:t>Suites 3605-06, 36/F, Tower 6, The Gateway, Harbour City, Hong Kong</w:t>
            </w:r>
          </w:p>
        </w:tc>
      </w:tr>
      <w:tr>
        <w:trPr/>
        <w:tc>
          <w:tcPr>
            <w:tcW w:w="764" w:type="dxa"/>
            <w:tcBorders/>
            <w:vAlign w:val="center"/>
          </w:tcPr>
          <w:p>
            <w:pPr>
              <w:pStyle w:val="TableContents"/>
              <w:bidi w:val="0"/>
              <w:spacing w:before="0" w:after="283"/>
              <w:jc w:val="left"/>
              <w:rPr/>
            </w:pPr>
            <w:r>
              <w:rPr/>
            </w:r>
          </w:p>
        </w:tc>
        <w:tc>
          <w:tcPr>
            <w:tcW w:w="226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158" w:type="dxa"/>
            <w:tcBorders/>
            <w:vAlign w:val="center"/>
          </w:tcPr>
          <w:p>
            <w:pPr>
              <w:pStyle w:val="TableContents"/>
              <w:bidi w:val="0"/>
              <w:spacing w:before="0" w:after="283"/>
              <w:jc w:val="left"/>
              <w:rPr/>
            </w:pPr>
            <w:r>
              <w:rPr/>
            </w:r>
          </w:p>
        </w:tc>
      </w:tr>
      <w:tr>
        <w:trPr/>
        <w:tc>
          <w:tcPr>
            <w:tcW w:w="764" w:type="dxa"/>
            <w:tcBorders/>
            <w:vAlign w:val="center"/>
          </w:tcPr>
          <w:p>
            <w:pPr>
              <w:pStyle w:val="TableContents"/>
              <w:bidi w:val="0"/>
              <w:spacing w:before="0" w:after="0"/>
              <w:jc w:val="left"/>
              <w:rPr/>
            </w:pPr>
            <w:r>
              <w:rPr/>
              <w:t>By:</w:t>
            </w:r>
          </w:p>
        </w:tc>
        <w:tc>
          <w:tcPr>
            <w:tcW w:w="2260" w:type="dxa"/>
            <w:tcBorders>
              <w:bottom w:val="single" w:sz="12" w:space="0" w:color="000000"/>
            </w:tcBorders>
            <w:tcMar>
              <w:bottom w:w="28" w:type="dxa"/>
            </w:tcMar>
            <w:vAlign w:val="center"/>
          </w:tcPr>
          <w:p>
            <w:pPr>
              <w:pStyle w:val="TableContents"/>
              <w:bidi w:val="0"/>
              <w:spacing w:before="0" w:after="0"/>
              <w:jc w:val="left"/>
              <w:rPr/>
            </w:pPr>
            <w:r>
              <w:rPr/>
            </w:r>
          </w:p>
        </w:tc>
        <w:tc>
          <w:tcPr>
            <w:tcW w:w="23" w:type="dxa"/>
            <w:tcBorders/>
            <w:vAlign w:val="center"/>
          </w:tcPr>
          <w:p>
            <w:pPr>
              <w:pStyle w:val="TableContents"/>
              <w:bidi w:val="0"/>
              <w:spacing w:before="0" w:after="283"/>
              <w:jc w:val="left"/>
              <w:rPr/>
            </w:pPr>
            <w:r>
              <w:rPr/>
            </w:r>
          </w:p>
        </w:tc>
        <w:tc>
          <w:tcPr>
            <w:tcW w:w="7158" w:type="dxa"/>
            <w:tcBorders/>
            <w:vAlign w:val="center"/>
          </w:tcPr>
          <w:p>
            <w:pPr>
              <w:pStyle w:val="TableContents"/>
              <w:bidi w:val="0"/>
              <w:spacing w:before="0" w:after="0"/>
              <w:jc w:val="left"/>
              <w:rPr/>
            </w:pPr>
            <w:r>
              <w:rPr/>
              <w:t>Email: warren.wen@waton.com</w:t>
            </w:r>
          </w:p>
        </w:tc>
      </w:tr>
      <w:tr>
        <w:trPr/>
        <w:tc>
          <w:tcPr>
            <w:tcW w:w="764" w:type="dxa"/>
            <w:tcBorders/>
            <w:vAlign w:val="center"/>
          </w:tcPr>
          <w:p>
            <w:pPr>
              <w:pStyle w:val="TableContents"/>
              <w:bidi w:val="0"/>
              <w:spacing w:before="0" w:after="0"/>
              <w:jc w:val="left"/>
              <w:rPr/>
            </w:pPr>
            <w:r>
              <w:rPr/>
              <w:t>Name:</w:t>
            </w:r>
          </w:p>
        </w:tc>
        <w:tc>
          <w:tcPr>
            <w:tcW w:w="2260" w:type="dxa"/>
            <w:tcBorders/>
            <w:vAlign w:val="center"/>
          </w:tcPr>
          <w:p>
            <w:pPr>
              <w:pStyle w:val="TableContents"/>
              <w:bidi w:val="0"/>
              <w:spacing w:before="0" w:after="0"/>
              <w:jc w:val="left"/>
              <w:rPr/>
            </w:pPr>
            <w:r>
              <w:rPr/>
              <w:t>HUAXIN WEN</w:t>
            </w:r>
          </w:p>
        </w:tc>
        <w:tc>
          <w:tcPr>
            <w:tcW w:w="23" w:type="dxa"/>
            <w:tcBorders/>
            <w:vAlign w:val="center"/>
          </w:tcPr>
          <w:p>
            <w:pPr>
              <w:pStyle w:val="TableContents"/>
              <w:bidi w:val="0"/>
              <w:spacing w:before="0" w:after="283"/>
              <w:jc w:val="left"/>
              <w:rPr/>
            </w:pPr>
            <w:r>
              <w:rPr/>
            </w:r>
          </w:p>
        </w:tc>
        <w:tc>
          <w:tcPr>
            <w:tcW w:w="7158" w:type="dxa"/>
            <w:tcBorders/>
            <w:vAlign w:val="center"/>
          </w:tcPr>
          <w:p>
            <w:pPr>
              <w:pStyle w:val="TableContents"/>
              <w:bidi w:val="0"/>
              <w:spacing w:before="0" w:after="283"/>
              <w:jc w:val="left"/>
              <w:rPr/>
            </w:pPr>
            <w:r>
              <w:rPr/>
            </w:r>
          </w:p>
        </w:tc>
      </w:tr>
      <w:tr>
        <w:trPr/>
        <w:tc>
          <w:tcPr>
            <w:tcW w:w="764" w:type="dxa"/>
            <w:tcBorders/>
            <w:vAlign w:val="center"/>
          </w:tcPr>
          <w:p>
            <w:pPr>
              <w:pStyle w:val="TableContents"/>
              <w:bidi w:val="0"/>
              <w:spacing w:before="0" w:after="0"/>
              <w:jc w:val="left"/>
              <w:rPr/>
            </w:pPr>
            <w:r>
              <w:rPr/>
              <w:t>Title:</w:t>
            </w:r>
          </w:p>
        </w:tc>
        <w:tc>
          <w:tcPr>
            <w:tcW w:w="2260" w:type="dxa"/>
            <w:tcBorders/>
            <w:vAlign w:val="center"/>
          </w:tcPr>
          <w:p>
            <w:pPr>
              <w:pStyle w:val="TableContents"/>
              <w:bidi w:val="0"/>
              <w:spacing w:before="0" w:after="0"/>
              <w:jc w:val="left"/>
              <w:rPr/>
            </w:pPr>
            <w:r>
              <w:rPr/>
              <w:t>Chief Financial Officer</w:t>
            </w:r>
          </w:p>
        </w:tc>
        <w:tc>
          <w:tcPr>
            <w:tcW w:w="23" w:type="dxa"/>
            <w:tcBorders/>
            <w:vAlign w:val="center"/>
          </w:tcPr>
          <w:p>
            <w:pPr>
              <w:pStyle w:val="TableContents"/>
              <w:bidi w:val="0"/>
              <w:spacing w:before="0" w:after="283"/>
              <w:jc w:val="left"/>
              <w:rPr/>
            </w:pPr>
            <w:r>
              <w:rPr/>
            </w:r>
          </w:p>
        </w:tc>
        <w:tc>
          <w:tcPr>
            <w:tcW w:w="7158"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i/>
          <w:color w:val="000000"/>
          <w:sz w:val="20"/>
        </w:rPr>
      </w:pPr>
      <w:bookmarkStart w:id="572" w:name="z_Hlk122631045"/>
      <w:bookmarkEnd w:id="572"/>
      <w:r>
        <w:rPr>
          <w:rFonts w:ascii="Times New Roman" w:hAnsi="Times New Roman"/>
          <w:i/>
          <w:color w:val="000000"/>
          <w:sz w:val="20"/>
        </w:rPr>
        <w:t>[WTF Securities Purchase Agreement – Investor Signature Page]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undersigned has caused this Securities Purchase Agreement to be duly executed by its authorized signatory as of the date first indicated above.</w:t>
      </w:r>
    </w:p>
    <w:p>
      <w:pPr>
        <w:pStyle w:val="TextBody"/>
        <w:bidi w:val="0"/>
        <w:spacing w:before="0" w:after="0"/>
        <w:ind w:left="0" w:right="0" w:firstLine="720"/>
        <w:jc w:val="both"/>
        <w:rPr/>
      </w:pPr>
      <w:r>
        <w:rPr/>
      </w:r>
    </w:p>
    <w:p>
      <w:pPr>
        <w:pStyle w:val="Normal"/>
        <w:bidi w:val="0"/>
        <w:spacing w:before="0" w:after="0"/>
        <w:jc w:val="left"/>
        <w:rPr>
          <w:sz w:val="4"/>
          <w:szCs w:val="4"/>
        </w:rPr>
      </w:pPr>
      <w:r>
        <w:rPr>
          <w:sz w:val="4"/>
          <w:szCs w:val="4"/>
        </w:rPr>
      </w:r>
      <w:bookmarkStart w:id="573" w:name="z98b984b0b0c84529bc84e867d0144431"/>
      <w:bookmarkStart w:id="574" w:name="z98b984b0b0c84529bc84e867d0144431"/>
      <w:bookmarkEnd w:id="574"/>
    </w:p>
    <w:tbl>
      <w:tblPr>
        <w:tblW w:w="8110" w:type="dxa"/>
        <w:jc w:val="left"/>
        <w:tblInd w:w="0" w:type="dxa"/>
        <w:tblLayout w:type="fixed"/>
        <w:tblCellMar>
          <w:top w:w="0" w:type="dxa"/>
          <w:left w:w="0" w:type="dxa"/>
          <w:bottom w:w="0" w:type="dxa"/>
          <w:right w:w="0" w:type="dxa"/>
        </w:tblCellMar>
      </w:tblPr>
      <w:tblGrid>
        <w:gridCol w:w="7775"/>
        <w:gridCol w:w="335"/>
      </w:tblGrid>
      <w:tr>
        <w:trPr/>
        <w:tc>
          <w:tcPr>
            <w:tcW w:w="7775" w:type="dxa"/>
            <w:tcBorders/>
            <w:vAlign w:val="center"/>
          </w:tcPr>
          <w:p>
            <w:pPr>
              <w:pStyle w:val="TableContents"/>
              <w:bidi w:val="0"/>
              <w:spacing w:before="0" w:after="0"/>
              <w:jc w:val="left"/>
              <w:rPr/>
            </w:pPr>
            <w:bookmarkStart w:id="575" w:name="OLE_LINK175"/>
            <w:bookmarkStart w:id="576" w:name="OLE_LINK174"/>
            <w:bookmarkEnd w:id="575"/>
            <w:bookmarkEnd w:id="576"/>
            <w:r>
              <w:rPr/>
              <w:t>Name of Purchaser:</w:t>
            </w:r>
          </w:p>
        </w:tc>
        <w:tc>
          <w:tcPr>
            <w:tcW w:w="335" w:type="dxa"/>
            <w:tcBorders>
              <w:bottom w:val="single" w:sz="12" w:space="0" w:color="000000"/>
            </w:tcBorders>
            <w:tcMar>
              <w:bottom w:w="28" w:type="dxa"/>
            </w:tcMar>
            <w:vAlign w:val="center"/>
          </w:tcPr>
          <w:p>
            <w:pPr>
              <w:pStyle w:val="TableContents"/>
              <w:bidi w:val="0"/>
              <w:spacing w:before="0" w:after="0"/>
              <w:jc w:val="left"/>
              <w:rPr/>
            </w:pPr>
            <w:r>
              <w:rPr/>
              <w:t>[●]</w:t>
            </w:r>
          </w:p>
        </w:tc>
      </w:tr>
      <w:tr>
        <w:trPr/>
        <w:tc>
          <w:tcPr>
            <w:tcW w:w="77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jc w:val="left"/>
              <w:rPr/>
            </w:pPr>
            <w:r>
              <w:rPr/>
              <w:t>Signature of Authorized Signatory of Purchaser:</w:t>
            </w:r>
          </w:p>
        </w:tc>
        <w:tc>
          <w:tcPr>
            <w:tcW w:w="33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jc w:val="left"/>
              <w:rPr/>
            </w:pPr>
            <w:r>
              <w:rPr/>
              <w:t>Name of Authorized Signatory:</w:t>
            </w:r>
          </w:p>
        </w:tc>
        <w:tc>
          <w:tcPr>
            <w:tcW w:w="335" w:type="dxa"/>
            <w:tcBorders>
              <w:bottom w:val="single" w:sz="12" w:space="0" w:color="000000"/>
            </w:tcBorders>
            <w:tcMar>
              <w:bottom w:w="28" w:type="dxa"/>
            </w:tcMar>
            <w:vAlign w:val="center"/>
          </w:tcPr>
          <w:p>
            <w:pPr>
              <w:pStyle w:val="TableContents"/>
              <w:bidi w:val="0"/>
              <w:spacing w:before="0" w:after="0"/>
              <w:jc w:val="left"/>
              <w:rPr/>
            </w:pPr>
            <w:r>
              <w:rPr/>
              <w:t>[●]</w:t>
            </w:r>
          </w:p>
        </w:tc>
      </w:tr>
      <w:tr>
        <w:trPr/>
        <w:tc>
          <w:tcPr>
            <w:tcW w:w="77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jc w:val="left"/>
              <w:rPr/>
            </w:pPr>
            <w:r>
              <w:rPr/>
              <w:t>Title of Authorized Signatory:</w:t>
            </w:r>
          </w:p>
        </w:tc>
        <w:tc>
          <w:tcPr>
            <w:tcW w:w="335" w:type="dxa"/>
            <w:tcBorders>
              <w:bottom w:val="single" w:sz="12" w:space="0" w:color="000000"/>
            </w:tcBorders>
            <w:tcMar>
              <w:bottom w:w="28" w:type="dxa"/>
            </w:tcMar>
            <w:vAlign w:val="center"/>
          </w:tcPr>
          <w:p>
            <w:pPr>
              <w:pStyle w:val="TableContents"/>
              <w:bidi w:val="0"/>
              <w:spacing w:before="0" w:after="0"/>
              <w:jc w:val="left"/>
              <w:rPr/>
            </w:pPr>
            <w:r>
              <w:rPr/>
              <w:t>[●]</w:t>
            </w:r>
          </w:p>
        </w:tc>
      </w:tr>
      <w:tr>
        <w:trPr/>
        <w:tc>
          <w:tcPr>
            <w:tcW w:w="77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jc w:val="left"/>
              <w:rPr/>
            </w:pPr>
            <w:r>
              <w:rPr/>
              <w:t>Email Address of Authorized Signatory:</w:t>
            </w:r>
          </w:p>
        </w:tc>
        <w:tc>
          <w:tcPr>
            <w:tcW w:w="335" w:type="dxa"/>
            <w:tcBorders>
              <w:bottom w:val="single" w:sz="12" w:space="0" w:color="000000"/>
            </w:tcBorders>
            <w:tcMar>
              <w:bottom w:w="28" w:type="dxa"/>
            </w:tcMar>
            <w:vAlign w:val="center"/>
          </w:tcPr>
          <w:p>
            <w:pPr>
              <w:pStyle w:val="TableContents"/>
              <w:bidi w:val="0"/>
              <w:spacing w:before="0" w:after="0"/>
              <w:jc w:val="left"/>
              <w:rPr/>
            </w:pPr>
            <w:r>
              <w:rPr/>
              <w:t>[●]</w:t>
            </w:r>
          </w:p>
        </w:tc>
      </w:tr>
      <w:tr>
        <w:trPr/>
        <w:tc>
          <w:tcPr>
            <w:tcW w:w="77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jc w:val="left"/>
              <w:rPr/>
            </w:pPr>
            <w:r>
              <w:rPr/>
              <w:t>Address for Notice to Purchaser:</w:t>
            </w:r>
          </w:p>
        </w:tc>
        <w:tc>
          <w:tcPr>
            <w:tcW w:w="335" w:type="dxa"/>
            <w:tcBorders/>
            <w:vAlign w:val="center"/>
          </w:tcPr>
          <w:p>
            <w:pPr>
              <w:pStyle w:val="TableContents"/>
              <w:bidi w:val="0"/>
              <w:spacing w:before="0" w:after="0"/>
              <w:jc w:val="left"/>
              <w:rPr/>
            </w:pPr>
            <w:r>
              <w:rPr/>
              <w:t>[●]</w:t>
            </w:r>
          </w:p>
        </w:tc>
      </w:tr>
      <w:tr>
        <w:trPr/>
        <w:tc>
          <w:tcPr>
            <w:tcW w:w="77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jc w:val="left"/>
              <w:rPr/>
            </w:pPr>
            <w:r>
              <w:rPr/>
              <w:t>Address for Delivery of Securities to Purchaser (if not same as address for notice):</w:t>
            </w:r>
          </w:p>
        </w:tc>
        <w:tc>
          <w:tcPr>
            <w:tcW w:w="335" w:type="dxa"/>
            <w:tcBorders/>
            <w:vAlign w:val="center"/>
          </w:tcPr>
          <w:p>
            <w:pPr>
              <w:pStyle w:val="TableContents"/>
              <w:bidi w:val="0"/>
              <w:spacing w:before="0" w:after="0"/>
              <w:jc w:val="left"/>
              <w:rPr/>
            </w:pPr>
            <w:r>
              <w:rPr/>
              <w:t>[●]</w:t>
            </w:r>
          </w:p>
        </w:tc>
      </w:tr>
      <w:tr>
        <w:trPr/>
        <w:tc>
          <w:tcPr>
            <w:tcW w:w="77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jc w:val="left"/>
              <w:rPr/>
            </w:pPr>
            <w:r>
              <w:rPr/>
              <w:t>Subscription Amount:</w:t>
            </w:r>
          </w:p>
        </w:tc>
        <w:tc>
          <w:tcPr>
            <w:tcW w:w="335" w:type="dxa"/>
            <w:tcBorders/>
            <w:vAlign w:val="center"/>
          </w:tcPr>
          <w:p>
            <w:pPr>
              <w:pStyle w:val="TableContents"/>
              <w:bidi w:val="0"/>
              <w:spacing w:before="0" w:after="0"/>
              <w:jc w:val="left"/>
              <w:rPr/>
            </w:pPr>
            <w:r>
              <w:rPr/>
              <w:t>[●]</w:t>
            </w:r>
          </w:p>
        </w:tc>
      </w:tr>
      <w:tr>
        <w:trPr/>
        <w:tc>
          <w:tcPr>
            <w:tcW w:w="77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jc w:val="left"/>
              <w:rPr/>
            </w:pPr>
            <w:r>
              <w:rPr/>
              <w:t>Shares:</w:t>
            </w:r>
          </w:p>
        </w:tc>
        <w:tc>
          <w:tcPr>
            <w:tcW w:w="335" w:type="dxa"/>
            <w:tcBorders/>
            <w:vAlign w:val="center"/>
          </w:tcPr>
          <w:p>
            <w:pPr>
              <w:pStyle w:val="TableContents"/>
              <w:bidi w:val="0"/>
              <w:spacing w:before="0" w:after="0"/>
              <w:jc w:val="left"/>
              <w:rPr/>
            </w:pPr>
            <w:r>
              <w:rPr/>
              <w:t>[●]</w:t>
            </w:r>
          </w:p>
        </w:tc>
      </w:tr>
      <w:tr>
        <w:trPr/>
        <w:tc>
          <w:tcPr>
            <w:tcW w:w="77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0"/>
              <w:jc w:val="left"/>
              <w:rPr/>
            </w:pPr>
            <w:r>
              <w:rPr/>
              <w:t>Employer Identification Number:</w:t>
            </w:r>
          </w:p>
        </w:tc>
        <w:tc>
          <w:tcPr>
            <w:tcW w:w="335" w:type="dxa"/>
            <w:tcBorders/>
            <w:vAlign w:val="center"/>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bookmarkStart w:id="577" w:name="OLE_LINK431"/>
      <w:bookmarkEnd w:id="577"/>
      <w:r>
        <w:rPr>
          <w:rFonts w:ascii="Times New Roman" w:hAnsi="Times New Roman"/>
          <w:b/>
          <w:color w:val="000000"/>
          <w:sz w:val="20"/>
          <w:u w:val="single"/>
        </w:rPr>
        <w:t>Exhibit A</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Form of Lock-Up Agreement</w:t>
      </w:r>
    </w:p>
    <w:p>
      <w:pPr>
        <w:pStyle w:val="TextBody"/>
        <w:bidi w:val="0"/>
        <w:spacing w:before="0" w:after="0"/>
        <w:jc w:val="center"/>
        <w:rPr>
          <w:b w:val="false"/>
          <w:i w:val="false"/>
          <w:caps w:val="false"/>
          <w:smallCaps w:val="false"/>
          <w:sz w:val="16"/>
        </w:rPr>
      </w:pPr>
      <w:r>
        <w:rPr>
          <w:b w:val="false"/>
          <w:i w:val="false"/>
          <w:caps w:val="false"/>
          <w:smallCaps w:val="false"/>
          <w:sz w:val="16"/>
        </w:rPr>
      </w:r>
    </w:p>
    <w:p>
      <w:pPr>
        <w:pStyle w:val="TextBody"/>
        <w:bidi w:val="0"/>
        <w:spacing w:before="0" w:after="0"/>
        <w:jc w:val="left"/>
        <w:rPr>
          <w:b w:val="false"/>
          <w:i w:val="false"/>
          <w:caps w:val="false"/>
          <w:smallCaps w:val="false"/>
          <w:sz w:val="16"/>
        </w:rPr>
      </w:pPr>
      <w:r>
        <w:rPr>
          <w:b w:val="false"/>
          <w:i w:val="false"/>
          <w:caps w:val="false"/>
          <w:smallCaps w:val="false"/>
          <w:sz w:val="16"/>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578" w:name="ny20075344x1_ex21-1.htm"/>
      <w:bookmarkStart w:id="579" w:name="ksny20075344x1_ex211"/>
      <w:bookmarkStart w:id="580" w:name="ny20075344x1_ex21-1.htm"/>
      <w:bookmarkStart w:id="581" w:name="ksny20075344x1_ex211"/>
      <w:bookmarkEnd w:id="580"/>
      <w:bookmarkEnd w:id="58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Subsidiaries of the Registrant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82" w:name="ze49f122db4f34c7bb81cb9a912cb006a"/>
      <w:bookmarkStart w:id="583" w:name="ze49f122db4f34c7bb81cb9a912cb006a"/>
      <w:bookmarkEnd w:id="583"/>
    </w:p>
    <w:tbl>
      <w:tblPr>
        <w:tblW w:w="6025" w:type="dxa"/>
        <w:jc w:val="left"/>
        <w:tblInd w:w="0" w:type="dxa"/>
        <w:tblLayout w:type="fixed"/>
        <w:tblCellMar>
          <w:top w:w="0" w:type="dxa"/>
          <w:left w:w="0" w:type="dxa"/>
          <w:bottom w:w="28" w:type="dxa"/>
          <w:right w:w="0" w:type="dxa"/>
        </w:tblCellMar>
      </w:tblPr>
      <w:tblGrid>
        <w:gridCol w:w="3905"/>
        <w:gridCol w:w="60"/>
        <w:gridCol w:w="2060"/>
      </w:tblGrid>
      <w:tr>
        <w:trPr/>
        <w:tc>
          <w:tcPr>
            <w:tcW w:w="3905" w:type="dxa"/>
            <w:tcBorders>
              <w:bottom w:val="single" w:sz="12" w:space="0" w:color="000000"/>
            </w:tcBorders>
            <w:vAlign w:val="center"/>
          </w:tcPr>
          <w:p>
            <w:pPr>
              <w:pStyle w:val="TableContents"/>
              <w:bidi w:val="0"/>
              <w:spacing w:before="0" w:after="0"/>
              <w:jc w:val="left"/>
              <w:rPr>
                <w:b/>
              </w:rPr>
            </w:pPr>
            <w:r>
              <w:rPr>
                <w:b/>
              </w:rPr>
              <w:t>Subsidiaries</w:t>
            </w:r>
          </w:p>
        </w:tc>
        <w:tc>
          <w:tcPr>
            <w:tcW w:w="60" w:type="dxa"/>
            <w:tcBorders/>
            <w:tcMar>
              <w:bottom w:w="0" w:type="dxa"/>
            </w:tcMar>
            <w:vAlign w:val="center"/>
          </w:tcPr>
          <w:p>
            <w:pPr>
              <w:pStyle w:val="TableContents"/>
              <w:bidi w:val="0"/>
              <w:spacing w:before="0" w:after="283"/>
              <w:jc w:val="left"/>
              <w:rPr/>
            </w:pPr>
            <w:r>
              <w:rPr/>
              <w:t> </w:t>
            </w:r>
          </w:p>
        </w:tc>
        <w:tc>
          <w:tcPr>
            <w:tcW w:w="2060" w:type="dxa"/>
            <w:tcBorders>
              <w:bottom w:val="single" w:sz="12" w:space="0" w:color="000000"/>
            </w:tcBorders>
            <w:vAlign w:val="center"/>
          </w:tcPr>
          <w:p>
            <w:pPr>
              <w:pStyle w:val="TableContents"/>
              <w:bidi w:val="0"/>
              <w:spacing w:before="0" w:after="0"/>
              <w:jc w:val="center"/>
              <w:rPr>
                <w:b/>
              </w:rPr>
            </w:pPr>
            <w:r>
              <w:rPr>
                <w:b/>
              </w:rPr>
              <w:t>Jurisdiction of</w:t>
            </w:r>
          </w:p>
          <w:p>
            <w:pPr>
              <w:pStyle w:val="TableContents"/>
              <w:bidi w:val="0"/>
              <w:spacing w:before="0" w:after="0"/>
              <w:jc w:val="center"/>
              <w:rPr>
                <w:b/>
              </w:rPr>
            </w:pPr>
            <w:r>
              <w:rPr>
                <w:b/>
              </w:rPr>
              <w:t>Incorporation</w:t>
            </w:r>
          </w:p>
        </w:tc>
      </w:tr>
      <w:tr>
        <w:trPr/>
        <w:tc>
          <w:tcPr>
            <w:tcW w:w="3905" w:type="dxa"/>
            <w:tcBorders/>
            <w:shd w:fill="CCEEFF" w:val="clear"/>
            <w:tcMar>
              <w:bottom w:w="0" w:type="dxa"/>
            </w:tcMar>
            <w:vAlign w:val="center"/>
          </w:tcPr>
          <w:p>
            <w:pPr>
              <w:pStyle w:val="TableContents"/>
              <w:bidi w:val="0"/>
              <w:spacing w:before="0" w:after="0"/>
              <w:jc w:val="left"/>
              <w:rPr/>
            </w:pPr>
            <w:r>
              <w:rPr/>
              <w:t>Waton Securities International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0" w:type="dxa"/>
            <w:tcBorders/>
            <w:shd w:fill="CCEEFF" w:val="clear"/>
            <w:tcMar>
              <w:bottom w:w="0" w:type="dxa"/>
            </w:tcMar>
            <w:vAlign w:val="center"/>
          </w:tcPr>
          <w:p>
            <w:pPr>
              <w:pStyle w:val="TableContents"/>
              <w:bidi w:val="0"/>
              <w:spacing w:before="0" w:after="0"/>
              <w:jc w:val="center"/>
              <w:rPr/>
            </w:pPr>
            <w:r>
              <w:rPr/>
              <w:t>Hong Kong</w:t>
            </w:r>
          </w:p>
        </w:tc>
      </w:tr>
      <w:tr>
        <w:trPr/>
        <w:tc>
          <w:tcPr>
            <w:tcW w:w="3905" w:type="dxa"/>
            <w:tcBorders/>
            <w:tcMar>
              <w:bottom w:w="0" w:type="dxa"/>
            </w:tcMar>
            <w:vAlign w:val="center"/>
          </w:tcPr>
          <w:p>
            <w:pPr>
              <w:pStyle w:val="TableContents"/>
              <w:bidi w:val="0"/>
              <w:spacing w:before="0" w:after="0"/>
              <w:jc w:val="left"/>
              <w:rPr/>
            </w:pPr>
            <w:r>
              <w:rPr/>
              <w:t>Waton Technology International Limited</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0"/>
              <w:jc w:val="center"/>
              <w:rPr/>
            </w:pPr>
            <w:r>
              <w:rPr/>
              <w:t>Hong Kong</w:t>
            </w:r>
          </w:p>
        </w:tc>
      </w:tr>
      <w:tr>
        <w:trPr/>
        <w:tc>
          <w:tcPr>
            <w:tcW w:w="3905" w:type="dxa"/>
            <w:tcBorders/>
            <w:shd w:fill="CCEEFF" w:val="clear"/>
            <w:tcMar>
              <w:bottom w:w="0" w:type="dxa"/>
            </w:tcMar>
            <w:vAlign w:val="center"/>
          </w:tcPr>
          <w:p>
            <w:pPr>
              <w:pStyle w:val="TableContents"/>
              <w:bidi w:val="0"/>
              <w:spacing w:before="0" w:after="0"/>
              <w:jc w:val="left"/>
              <w:rPr/>
            </w:pPr>
            <w:r>
              <w:rPr/>
              <w:t>Waton Sponsor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0" w:type="dxa"/>
            <w:tcBorders/>
            <w:shd w:fill="CCEEFF" w:val="clear"/>
            <w:tcMar>
              <w:bottom w:w="0" w:type="dxa"/>
            </w:tcMar>
            <w:vAlign w:val="center"/>
          </w:tcPr>
          <w:p>
            <w:pPr>
              <w:pStyle w:val="TableContents"/>
              <w:bidi w:val="0"/>
              <w:spacing w:before="0" w:after="0"/>
              <w:jc w:val="center"/>
              <w:rPr/>
            </w:pPr>
            <w:r>
              <w:rPr/>
              <w:t>British Virgin Islands</w:t>
            </w:r>
          </w:p>
        </w:tc>
      </w:tr>
      <w:tr>
        <w:trPr/>
        <w:tc>
          <w:tcPr>
            <w:tcW w:w="3905" w:type="dxa"/>
            <w:tcBorders/>
            <w:tcMar>
              <w:bottom w:w="0" w:type="dxa"/>
            </w:tcMar>
            <w:vAlign w:val="center"/>
          </w:tcPr>
          <w:p>
            <w:pPr>
              <w:pStyle w:val="TableContents"/>
              <w:bidi w:val="0"/>
              <w:spacing w:before="0" w:after="0"/>
              <w:jc w:val="left"/>
              <w:rPr/>
            </w:pPr>
            <w:r>
              <w:rPr/>
              <w:t>Descart Limited</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0"/>
              <w:jc w:val="center"/>
              <w:rPr/>
            </w:pPr>
            <w:r>
              <w:rPr/>
              <w:t>Delaware</w:t>
            </w:r>
          </w:p>
        </w:tc>
      </w:tr>
      <w:tr>
        <w:trPr/>
        <w:tc>
          <w:tcPr>
            <w:tcW w:w="3905" w:type="dxa"/>
            <w:tcBorders/>
            <w:shd w:fill="CCEEFF" w:val="clear"/>
            <w:tcMar>
              <w:bottom w:w="0" w:type="dxa"/>
            </w:tcMar>
            <w:vAlign w:val="center"/>
          </w:tcPr>
          <w:p>
            <w:pPr>
              <w:pStyle w:val="TableContents"/>
              <w:bidi w:val="0"/>
              <w:spacing w:before="0" w:after="0"/>
              <w:jc w:val="left"/>
              <w:rPr/>
            </w:pPr>
            <w:r>
              <w:rPr/>
              <w:t>Waton Investment Global SPC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0" w:type="dxa"/>
            <w:tcBorders/>
            <w:shd w:fill="CCEEFF" w:val="clear"/>
            <w:tcMar>
              <w:bottom w:w="0" w:type="dxa"/>
            </w:tcMar>
            <w:vAlign w:val="center"/>
          </w:tcPr>
          <w:p>
            <w:pPr>
              <w:pStyle w:val="TableContents"/>
              <w:bidi w:val="0"/>
              <w:spacing w:before="0" w:after="0"/>
              <w:jc w:val="center"/>
              <w:rPr/>
            </w:pPr>
            <w:r>
              <w:rPr/>
              <w:t>Cayman Islands</w:t>
            </w:r>
          </w:p>
        </w:tc>
      </w:tr>
      <w:tr>
        <w:trPr/>
        <w:tc>
          <w:tcPr>
            <w:tcW w:w="3905" w:type="dxa"/>
            <w:tcBorders/>
            <w:tcMar>
              <w:bottom w:w="0" w:type="dxa"/>
            </w:tcMar>
            <w:vAlign w:val="center"/>
          </w:tcPr>
          <w:p>
            <w:pPr>
              <w:pStyle w:val="TableContents"/>
              <w:bidi w:val="0"/>
              <w:spacing w:before="0" w:after="0"/>
              <w:jc w:val="left"/>
              <w:rPr/>
            </w:pPr>
            <w:r>
              <w:rPr/>
              <w:t>Infast Asset Management Co., Limited</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0"/>
              <w:jc w:val="center"/>
              <w:rPr/>
            </w:pPr>
            <w:r>
              <w:rPr/>
              <w:t>Hong Kong</w:t>
            </w:r>
          </w:p>
        </w:tc>
      </w:tr>
      <w:tr>
        <w:trPr/>
        <w:tc>
          <w:tcPr>
            <w:tcW w:w="3905" w:type="dxa"/>
            <w:tcBorders/>
            <w:shd w:fill="CCEEFF" w:val="clear"/>
            <w:tcMar>
              <w:bottom w:w="0" w:type="dxa"/>
            </w:tcMar>
            <w:vAlign w:val="center"/>
          </w:tcPr>
          <w:p>
            <w:pPr>
              <w:pStyle w:val="TableContents"/>
              <w:bidi w:val="0"/>
              <w:spacing w:before="0" w:after="0"/>
              <w:jc w:val="left"/>
              <w:rPr/>
            </w:pPr>
            <w:r>
              <w:rPr/>
              <w:t>Love &amp; Health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0" w:type="dxa"/>
            <w:tcBorders/>
            <w:shd w:fill="CCEEFF" w:val="clear"/>
            <w:tcMar>
              <w:bottom w:w="0" w:type="dxa"/>
            </w:tcMar>
            <w:vAlign w:val="center"/>
          </w:tcPr>
          <w:p>
            <w:pPr>
              <w:pStyle w:val="TableContents"/>
              <w:bidi w:val="0"/>
              <w:spacing w:before="0" w:after="0"/>
              <w:jc w:val="center"/>
              <w:rPr/>
            </w:pPr>
            <w:r>
              <w:rPr/>
              <w:t>Cayman Islands</w:t>
            </w:r>
          </w:p>
        </w:tc>
      </w:tr>
      <w:tr>
        <w:trPr/>
        <w:tc>
          <w:tcPr>
            <w:tcW w:w="3905" w:type="dxa"/>
            <w:tcBorders/>
            <w:tcMar>
              <w:bottom w:w="0" w:type="dxa"/>
            </w:tcMar>
            <w:vAlign w:val="center"/>
          </w:tcPr>
          <w:p>
            <w:pPr>
              <w:pStyle w:val="TableContents"/>
              <w:bidi w:val="0"/>
              <w:spacing w:before="0" w:after="0"/>
              <w:jc w:val="left"/>
              <w:rPr/>
            </w:pPr>
            <w:r>
              <w:rPr/>
              <w:t>WTF Technology (Hangzhou) Co. Ltd.</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0"/>
              <w:jc w:val="center"/>
              <w:rPr/>
            </w:pPr>
            <w:r>
              <w:rPr/>
              <w:t>PRC</w:t>
            </w:r>
          </w:p>
        </w:tc>
      </w:tr>
      <w:tr>
        <w:trPr/>
        <w:tc>
          <w:tcPr>
            <w:tcW w:w="3905" w:type="dxa"/>
            <w:tcBorders/>
            <w:shd w:fill="CCEEFF" w:val="clear"/>
            <w:tcMar>
              <w:bottom w:w="0" w:type="dxa"/>
            </w:tcMar>
            <w:vAlign w:val="center"/>
          </w:tcPr>
          <w:p>
            <w:pPr>
              <w:pStyle w:val="TableContents"/>
              <w:bidi w:val="0"/>
              <w:spacing w:before="0" w:after="0"/>
              <w:jc w:val="left"/>
              <w:rPr/>
            </w:pPr>
            <w:r>
              <w:rPr/>
              <w:t>Waton AI Genius Holding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0" w:type="dxa"/>
            <w:tcBorders/>
            <w:shd w:fill="CCEEFF" w:val="clear"/>
            <w:tcMar>
              <w:bottom w:w="0" w:type="dxa"/>
            </w:tcMar>
            <w:vAlign w:val="center"/>
          </w:tcPr>
          <w:p>
            <w:pPr>
              <w:pStyle w:val="TableContents"/>
              <w:bidi w:val="0"/>
              <w:spacing w:before="0" w:after="0"/>
              <w:jc w:val="center"/>
              <w:rPr/>
            </w:pPr>
            <w:r>
              <w:rPr/>
              <w:t>British Virgin Islands</w:t>
            </w:r>
          </w:p>
        </w:tc>
      </w:tr>
      <w:tr>
        <w:trPr/>
        <w:tc>
          <w:tcPr>
            <w:tcW w:w="3905" w:type="dxa"/>
            <w:tcBorders/>
            <w:tcMar>
              <w:bottom w:w="0" w:type="dxa"/>
            </w:tcMar>
            <w:vAlign w:val="center"/>
          </w:tcPr>
          <w:p>
            <w:pPr>
              <w:pStyle w:val="TableContents"/>
              <w:bidi w:val="0"/>
              <w:spacing w:before="0" w:after="0"/>
              <w:jc w:val="left"/>
              <w:rPr/>
            </w:pPr>
            <w:r>
              <w:rPr/>
              <w:t>WTF Asia Holding Limited</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0"/>
              <w:jc w:val="center"/>
              <w:rPr/>
            </w:pPr>
            <w:r>
              <w:rPr/>
              <w:t>British Virgin Islands</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jc w:val="left"/>
        <w:rPr/>
      </w:pPr>
      <w:r>
        <w:rPr/>
      </w:r>
    </w:p>
    <w:p>
      <w:pPr>
        <w:pStyle w:val="HorizontalLine"/>
        <w:pBdr>
          <w:bottom w:val="single" w:sz="12" w:space="0" w:color="808080"/>
        </w:pBdr>
        <w:bidi w:val="0"/>
        <w:jc w:val="left"/>
        <w:rPr/>
      </w:pPr>
      <w:r>
        <w:rPr/>
      </w:r>
      <w:bookmarkStart w:id="584" w:name="ny20075344x1_ex23-1.htm"/>
      <w:bookmarkStart w:id="585" w:name="ksny20075344x1_ex231"/>
      <w:bookmarkStart w:id="586" w:name="ny20075344x1_ex23-1.htm"/>
      <w:bookmarkStart w:id="587" w:name="ksny20075344x1_ex231"/>
      <w:bookmarkEnd w:id="586"/>
      <w:bookmarkEnd w:id="587"/>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23.1</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hereby consent to the incorporation by reference in this Registration Statement on Post-Effective Amendment No. 2 to Form F-1 of our report dated July 24, 2025, with respect to the consolidated financial statements of Waton Financial Limited (the “Company”) appearing in the Annual Report on Form 20-F of the Company for the year ended March 31, 2025. Our report contained a paragraph of “Emphasis of Matter” relating to the Company’s significant transactions with its related parties.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also consent to the reference to our Firm under the caption “Experts” in such Registration Statement.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 UHY LLP</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Irvine, California</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June 9, 2026</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88" w:name="ny20075344x1_ex23-3.htm"/>
      <w:bookmarkStart w:id="589" w:name="ksny20075344x1_ex233"/>
      <w:bookmarkStart w:id="590" w:name="ny20075344x1_ex23-3.htm"/>
      <w:bookmarkStart w:id="591" w:name="ksny20075344x1_ex233"/>
      <w:bookmarkEnd w:id="590"/>
      <w:bookmarkEnd w:id="591"/>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23.3</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2152650" cy="390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5"/>
                    <a:stretch>
                      <a:fillRect/>
                    </a:stretch>
                  </pic:blipFill>
                  <pic:spPr bwMode="auto">
                    <a:xfrm>
                      <a:off x="0" y="0"/>
                      <a:ext cx="2152650" cy="3905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Times;serif" w:hAnsi="Times New Roman;Times;serif"/>
          <w:b/>
          <w:smallCaps/>
          <w:color w:val="000000"/>
          <w:sz w:val="20"/>
        </w:rPr>
      </w:pPr>
      <w:r>
        <w:rPr>
          <w:rFonts w:ascii="Times New Roman;Times;serif" w:hAnsi="Times New Roman;Times;serif"/>
          <w:b/>
          <w:smallCaps/>
          <w:color w:val="000000"/>
          <w:sz w:val="20"/>
        </w:rPr>
        <w:t>Consent Letter</w:t>
      </w:r>
    </w:p>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To:</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Waton Financial Limited (the “Company”)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Suites 3605-06</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36F, Tower 6, The Gateway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Harbour City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Kowloon, Hong Kong</w:t>
      </w:r>
    </w:p>
    <w:p>
      <w:pPr>
        <w:pStyle w:val="TextBody"/>
        <w:bidi w:val="0"/>
        <w:spacing w:before="0" w:after="0"/>
        <w:jc w:val="left"/>
        <w:rPr/>
      </w:pPr>
      <w:r>
        <w:rPr/>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Date: June 9, 2026</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Dear Sirs,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hereby consent to references to our name in the Post-Effective Amendment No. 2 to Form F-1, filed with the U.S. Securities and Exchange Commission under the U.S. Securities Act of 1933, as amended.  We also consent to the filing of this consent letter as an exhibit of the Company’s registration statement on Post-Effective Amendment No. 2 to Form F-1.</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Yours faithfully,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92" w:name="z969d553b226d4b9ea47c693768eacd64"/>
      <w:bookmarkStart w:id="593" w:name="z969d553b226d4b9ea47c693768eacd64"/>
      <w:bookmarkEnd w:id="593"/>
    </w:p>
    <w:tbl>
      <w:tblPr>
        <w:tblW w:w="2210" w:type="dxa"/>
        <w:jc w:val="left"/>
        <w:tblInd w:w="0" w:type="dxa"/>
        <w:tblLayout w:type="fixed"/>
        <w:tblCellMar>
          <w:top w:w="0" w:type="dxa"/>
          <w:left w:w="0" w:type="dxa"/>
          <w:bottom w:w="28" w:type="dxa"/>
          <w:right w:w="0" w:type="dxa"/>
        </w:tblCellMar>
      </w:tblPr>
      <w:tblGrid>
        <w:gridCol w:w="2150"/>
        <w:gridCol w:w="60"/>
      </w:tblGrid>
      <w:tr>
        <w:trPr/>
        <w:tc>
          <w:tcPr>
            <w:tcW w:w="2150" w:type="dxa"/>
            <w:tcBorders>
              <w:bottom w:val="single" w:sz="12" w:space="0" w:color="000000"/>
            </w:tcBorders>
            <w:vAlign w:val="center"/>
          </w:tcPr>
          <w:p>
            <w:pPr>
              <w:pStyle w:val="TableContents"/>
              <w:bidi w:val="0"/>
              <w:spacing w:before="0" w:after="283"/>
              <w:jc w:val="left"/>
              <w:rPr/>
            </w:pPr>
            <w:r>
              <w:rPr/>
              <w:t xml:space="preserve">/s/ Global Law Office </w:t>
            </w:r>
          </w:p>
        </w:tc>
        <w:tc>
          <w:tcPr>
            <w:tcW w:w="60" w:type="dxa"/>
            <w:tcBorders/>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0"/>
              <w:jc w:val="both"/>
              <w:rPr>
                <w:b/>
              </w:rPr>
            </w:pPr>
            <w:r>
              <w:rPr>
                <w:b/>
              </w:rPr>
              <w:t>Global Law Office</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94" w:name="ny20075344x1_ex23-4.htm"/>
      <w:bookmarkStart w:id="595" w:name="ksny20075344x1_ex234"/>
      <w:bookmarkStart w:id="596" w:name="ny20075344x1_ex23-4.htm"/>
      <w:bookmarkStart w:id="597" w:name="ksny20075344x1_ex234"/>
      <w:bookmarkEnd w:id="596"/>
      <w:bookmarkEnd w:id="597"/>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98" w:name="z862d16ba65834a51ae7240e299321e83"/>
      <w:bookmarkStart w:id="599" w:name="z862d16ba65834a51ae7240e299321e83"/>
      <w:bookmarkEnd w:id="599"/>
    </w:p>
    <w:tbl>
      <w:tblPr>
        <w:tblW w:w="10205" w:type="dxa"/>
        <w:jc w:val="left"/>
        <w:tblInd w:w="0" w:type="dxa"/>
        <w:tblLayout w:type="fixed"/>
        <w:tblCellMar>
          <w:top w:w="0" w:type="dxa"/>
          <w:left w:w="0" w:type="dxa"/>
          <w:bottom w:w="0" w:type="dxa"/>
          <w:right w:w="0" w:type="dxa"/>
        </w:tblCellMar>
      </w:tblPr>
      <w:tblGrid>
        <w:gridCol w:w="6395"/>
        <w:gridCol w:w="3810"/>
      </w:tblGrid>
      <w:tr>
        <w:trPr/>
        <w:tc>
          <w:tcPr>
            <w:tcW w:w="6395" w:type="dxa"/>
            <w:tcBorders/>
            <w:vAlign w:val="center"/>
          </w:tcPr>
          <w:p>
            <w:pPr>
              <w:pStyle w:val="TableContents"/>
              <w:bidi w:val="0"/>
              <w:spacing w:before="0" w:after="0"/>
              <w:jc w:val="left"/>
              <w:rPr/>
            </w:pPr>
            <w:r>
              <w:rPr/>
              <w:t xml:space="preserve">Rooms 4301-10, 43/F., Gloucester Tower, The Landmark </w:t>
            </w:r>
          </w:p>
          <w:p>
            <w:pPr>
              <w:pStyle w:val="TableContents"/>
              <w:bidi w:val="0"/>
              <w:spacing w:before="0" w:after="0"/>
              <w:jc w:val="left"/>
              <w:rPr/>
            </w:pPr>
            <w:r>
              <w:rPr/>
              <w:t>15 Queen's Road Central, Hong Kong SAR, PRC</w:t>
            </w:r>
          </w:p>
          <w:p>
            <w:pPr>
              <w:pStyle w:val="TableContents"/>
              <w:bidi w:val="0"/>
              <w:spacing w:before="0" w:after="0"/>
              <w:jc w:val="left"/>
              <w:rPr/>
            </w:pPr>
            <w:r>
              <w:rPr/>
              <w:t>Tel: +852 2820 5600    Fax: +852 2820 5611</w:t>
            </w:r>
          </w:p>
          <w:p>
            <w:pPr>
              <w:pStyle w:val="TableContents"/>
              <w:bidi w:val="0"/>
              <w:spacing w:before="0" w:after="0"/>
              <w:jc w:val="left"/>
              <w:rPr/>
            </w:pPr>
            <w:r>
              <w:rPr/>
              <w:t>Beijing • Shanghai • Shenzhen • Hong Kong • Haikou • Wuhan • Singapore • New York • Silicon Valley</w:t>
            </w:r>
          </w:p>
          <w:p>
            <w:pPr>
              <w:pStyle w:val="TableContents"/>
              <w:bidi w:val="0"/>
              <w:spacing w:before="0" w:after="0"/>
              <w:jc w:val="left"/>
              <w:rPr>
                <w:u w:val="single"/>
              </w:rPr>
            </w:pPr>
            <w:r>
              <w:rPr>
                <w:u w:val="single"/>
              </w:rPr>
              <w:t>www.hankunlaw.com</w:t>
            </w:r>
          </w:p>
          <w:p>
            <w:pPr>
              <w:pStyle w:val="TableContents"/>
              <w:bidi w:val="0"/>
              <w:spacing w:before="0" w:after="0"/>
              <w:jc w:val="left"/>
              <w:rPr/>
            </w:pPr>
            <w:r>
              <w:rPr/>
              <w:t> </w:t>
            </w:r>
          </w:p>
        </w:tc>
        <w:tc>
          <w:tcPr>
            <w:tcW w:w="3810" w:type="dxa"/>
            <w:tcBorders/>
            <w:vAlign w:val="center"/>
          </w:tcPr>
          <w:p>
            <w:pPr>
              <w:pStyle w:val="TableContents"/>
              <w:bidi w:val="0"/>
              <w:spacing w:before="0" w:after="0"/>
              <w:jc w:val="right"/>
              <w:rPr/>
            </w:pPr>
            <w:r>
              <w:rPr/>
              <w:t> </w:t>
            </w:r>
            <w:r>
              <w:rPr/>
              <w:drawing>
                <wp:inline distT="0" distB="0" distL="0" distR="0">
                  <wp:extent cx="2381250" cy="9906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6"/>
                          <a:stretch>
                            <a:fillRect/>
                          </a:stretch>
                        </pic:blipFill>
                        <pic:spPr bwMode="auto">
                          <a:xfrm>
                            <a:off x="0" y="0"/>
                            <a:ext cx="2381250" cy="990600"/>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June 9,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Waton Financial Limited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Suites 3605-06, 36th Floor,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Tower 6, The Gateway,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Harbour City, Tsim Sha Tsui,</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Kowloon, Hong Kong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00" w:name="z8113a4ed0f89493aba51b225d8b9b2e5"/>
      <w:bookmarkStart w:id="601" w:name="z8113a4ed0f89493aba51b225d8b9b2e5"/>
      <w:bookmarkEnd w:id="601"/>
    </w:p>
    <w:tbl>
      <w:tblPr>
        <w:tblW w:w="2980" w:type="dxa"/>
        <w:jc w:val="left"/>
        <w:tblInd w:w="0" w:type="dxa"/>
        <w:tblLayout w:type="fixed"/>
        <w:tblCellMar>
          <w:top w:w="0" w:type="dxa"/>
          <w:left w:w="0" w:type="dxa"/>
          <w:bottom w:w="0" w:type="dxa"/>
          <w:right w:w="0" w:type="dxa"/>
        </w:tblCellMar>
      </w:tblPr>
      <w:tblGrid>
        <w:gridCol w:w="395"/>
        <w:gridCol w:w="2585"/>
      </w:tblGrid>
      <w:tr>
        <w:trPr/>
        <w:tc>
          <w:tcPr>
            <w:tcW w:w="395" w:type="dxa"/>
            <w:tcBorders/>
            <w:vAlign w:val="center"/>
          </w:tcPr>
          <w:p>
            <w:pPr>
              <w:pStyle w:val="TableContents"/>
              <w:bidi w:val="0"/>
              <w:spacing w:before="0" w:after="283"/>
              <w:jc w:val="left"/>
              <w:rPr>
                <w:b/>
              </w:rPr>
            </w:pPr>
            <w:r>
              <w:rPr>
                <w:b/>
              </w:rPr>
              <w:t>Re:</w:t>
            </w:r>
          </w:p>
        </w:tc>
        <w:tc>
          <w:tcPr>
            <w:tcW w:w="2585" w:type="dxa"/>
            <w:tcBorders/>
            <w:vAlign w:val="center"/>
          </w:tcPr>
          <w:p>
            <w:pPr>
              <w:pStyle w:val="TableContents"/>
              <w:bidi w:val="0"/>
              <w:spacing w:before="0" w:after="0"/>
              <w:jc w:val="left"/>
              <w:rPr>
                <w:b/>
              </w:rPr>
            </w:pPr>
            <w:r>
              <w:rPr>
                <w:b/>
              </w:rPr>
              <w:t>Waton Financial Limited</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have acted as Hong Kong counsel to Waton Financial Limited (the "Company"), a company incorporated in the British Virgin Islands, in connection with the Registration Statement on Form F-1, as amended (the "Registration Statement") filed with the Securities and Exchange Commission under the Securities Act of 1933, as amended (the "Act") covering a best-efforts offering (the "Offering") up to 5,359,719 ordinary shares, no par value per share (the "Ordinary Shares").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hereby consent to the use of this consent as an exhibit to the Registration Statement, to the use of our name as your Hong Kong counsel and to all references made to us in the Registration Statement and in the prospectus forming a part thereof. In giving this consent, we do not hereby admit that we are in the category of persons whose consent is required under Section 7 of the Act, or the rules and regulations promulgated thereunder.</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Very truly yours,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Han Kun Law Offices LLP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rFonts w:ascii="Times New Roman;Times;serif" w:hAnsi="Times New Roman;Times;serif"/>
          <w:b/>
          <w:color w:val="000000"/>
          <w:sz w:val="16"/>
        </w:rPr>
      </w:pPr>
      <w:r>
        <w:rPr>
          <w:rFonts w:ascii="Times New Roman;Times;serif" w:hAnsi="Times New Roman;Times;serif"/>
          <w:b/>
          <w:color w:val="000000"/>
          <w:sz w:val="16"/>
        </w:rPr>
        <w:t>CONFIDENTIALITY. This document contains confidential information which may be protected by privilege from disclosure. Unless you are the intended or authorised recipient, you shall not copy, print, use or distribute it or any part thereof or cany out any act pursuant thereto and shall advise Han Kun Law Offices LLP immediately by telephone, e-mail or facsimile and return it promptly by mail. Thank you.</w:t>
      </w:r>
    </w:p>
    <w:p>
      <w:pPr>
        <w:pStyle w:val="HorizontalLine"/>
        <w:pBdr>
          <w:bottom w:val="single" w:sz="12" w:space="0" w:color="808080"/>
        </w:pBdr>
        <w:bidi w:val="0"/>
        <w:jc w:val="left"/>
        <w:rPr/>
      </w:pPr>
      <w:r>
        <w:rPr/>
      </w:r>
    </w:p>
    <w:p>
      <w:pPr>
        <w:pStyle w:val="TextBody"/>
        <w:bidi w:val="0"/>
        <w:spacing w:before="0" w:after="0"/>
        <w:jc w:val="left"/>
        <w:rPr>
          <w:rFonts w:ascii="Times New Roman;Times;serif" w:hAnsi="Times New Roman;Times;serif"/>
          <w:b/>
          <w:sz w:val="16"/>
        </w:rPr>
      </w:pPr>
      <w:r>
        <w:rPr>
          <w:rFonts w:ascii="Times New Roman;Times;serif" w:hAnsi="Times New Roman;Times;serif"/>
          <w:b/>
          <w:sz w:val="16"/>
        </w:rPr>
      </w:r>
    </w:p>
    <w:p>
      <w:pPr>
        <w:pStyle w:val="TextBody"/>
        <w:bidi w:val="0"/>
        <w:spacing w:before="0" w:after="0"/>
        <w:jc w:val="center"/>
        <w:rPr>
          <w:color w:val="000000"/>
        </w:rPr>
      </w:pPr>
      <w:r>
        <w:rPr>
          <w:color w:val="000000"/>
        </w:rPr>
        <w:drawing>
          <wp:inline distT="0" distB="0" distL="0" distR="0">
            <wp:extent cx="7620000" cy="3905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7"/>
                    <a:stretch>
                      <a:fillRect/>
                    </a:stretch>
                  </pic:blipFill>
                  <pic:spPr bwMode="auto">
                    <a:xfrm>
                      <a:off x="0" y="0"/>
                      <a:ext cx="7620000" cy="39052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bidi w:val="0"/>
        <w:jc w:val="left"/>
        <w:rPr/>
      </w:pPr>
      <w:r>
        <w:rPr/>
      </w:r>
      <w:bookmarkStart w:id="602" w:name="ny20075344x1_ex107.htm"/>
      <w:bookmarkStart w:id="603" w:name="ksny20075344x1_ex107"/>
      <w:bookmarkStart w:id="604" w:name="ny20075344x1_ex107.htm"/>
      <w:bookmarkStart w:id="605" w:name="ksny20075344x1_ex107"/>
      <w:bookmarkEnd w:id="604"/>
      <w:bookmarkEnd w:id="605"/>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w:t>
      </w:r>
      <w:r>
        <w:rPr>
          <w:rFonts w:ascii="Times New Roman" w:hAnsi="Times New Roman"/>
          <w:sz w:val="24"/>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F-1</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rPr>
        <w:t>Waton Financial Limited</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Securities</w:t>
      </w:r>
      <w:r>
        <w:rPr>
          <w:rFonts w:ascii="Times New Roman" w:hAnsi="Times New Roman"/>
          <w:sz w:val="24"/>
        </w:rPr>
        <w:t xml:space="preserve"> </w:t>
      </w:r>
    </w:p>
    <w:tbl>
      <w:tblPr>
        <w:tblW w:w="10779" w:type="dxa"/>
        <w:jc w:val="left"/>
        <w:tblInd w:w="0" w:type="dxa"/>
        <w:tblLayout w:type="fixed"/>
        <w:tblCellMar>
          <w:top w:w="28" w:type="dxa"/>
          <w:left w:w="28" w:type="dxa"/>
          <w:bottom w:w="28" w:type="dxa"/>
          <w:right w:w="28" w:type="dxa"/>
        </w:tblCellMar>
      </w:tblPr>
      <w:tblGrid>
        <w:gridCol w:w="1126"/>
        <w:gridCol w:w="946"/>
        <w:gridCol w:w="961"/>
        <w:gridCol w:w="1276"/>
        <w:gridCol w:w="1186"/>
        <w:gridCol w:w="1156"/>
        <w:gridCol w:w="1486"/>
        <w:gridCol w:w="1246"/>
        <w:gridCol w:w="1396"/>
      </w:tblGrid>
      <w:tr>
        <w:trPr/>
        <w:tc>
          <w:tcPr>
            <w:tcW w:w="11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Security Type</w:t>
            </w:r>
            <w:r>
              <w:rPr/>
              <w:t xml:space="preserve"> </w:t>
            </w:r>
          </w:p>
        </w:tc>
        <w:tc>
          <w:tcPr>
            <w:tcW w:w="96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color w:val="000000"/>
              </w:rPr>
              <w:t>Security 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color w:val="000000"/>
              </w:rPr>
              <w:t>Fee Calculation or Carry Forward Rule</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Amount Registered</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Proposed Maximum Offering Price Per Unit</w:t>
            </w:r>
            <w:r>
              <w:rPr/>
              <w:t xml:space="preserve"> </w:t>
            </w:r>
          </w:p>
        </w:tc>
        <w:tc>
          <w:tcPr>
            <w:tcW w:w="14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 xml:space="preserve">Proposed Maximum Aggregate </w:t>
              <w:br/>
              <w:t>Offering Price(1)</w:t>
            </w:r>
            <w:r>
              <w:rPr/>
              <w:t xml:space="preserve"> </w:t>
            </w:r>
          </w:p>
        </w:tc>
        <w:tc>
          <w:tcPr>
            <w:tcW w:w="12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Fee Rate</w:t>
            </w:r>
            <w:r>
              <w:rPr/>
              <w:t xml:space="preserve"> </w:t>
            </w:r>
          </w:p>
        </w:tc>
        <w:tc>
          <w:tcPr>
            <w:tcW w:w="139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color w:val="000000"/>
              </w:rPr>
              <w:t>Amount of Registration Fee</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color w:val="000000"/>
              </w:rPr>
              <w:t>Fees Previously Paid</w:t>
            </w:r>
            <w:r>
              <w:rPr/>
              <w:t xml:space="preserve"> </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Equity</w:t>
            </w:r>
            <w:r>
              <w:rPr/>
              <w:t xml:space="preserve"> </w:t>
            </w:r>
          </w:p>
        </w:tc>
        <w:tc>
          <w:tcPr>
            <w:tcW w:w="9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Ordinary shares, no par value per share(2)</w:t>
            </w:r>
            <w:r>
              <w:rPr/>
              <w:t xml:space="preserve">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Rule 457(o)</w:t>
            </w:r>
            <w:r>
              <w:rPr/>
              <w:t xml:space="preserve">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w:t>
            </w:r>
            <w:r>
              <w:rPr/>
              <w:t xml:space="preserve"> </w:t>
            </w:r>
          </w:p>
        </w:tc>
        <w:tc>
          <w:tcPr>
            <w:tcW w:w="14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color w:val="000000"/>
              </w:rPr>
            </w:pPr>
            <w:r>
              <w:rPr>
                <w:color w:val="000000"/>
              </w:rPr>
              <w:t>$15,757,573.9</w:t>
            </w:r>
          </w:p>
        </w:tc>
        <w:tc>
          <w:tcPr>
            <w:tcW w:w="12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0.00013810</w:t>
            </w:r>
            <w:r>
              <w:rPr/>
              <w:t xml:space="preserve">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color w:val="000000"/>
              </w:rPr>
            </w:pPr>
            <w:r>
              <w:rPr>
                <w:color w:val="000000"/>
              </w:rPr>
              <w:t>$2,176.2</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36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color w:val="000000"/>
              </w:rPr>
              <w:t>Total Offering Amounts</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color w:val="000000"/>
              </w:rPr>
            </w:pPr>
            <w:r>
              <w:rPr>
                <w:color w:val="000000"/>
              </w:rPr>
              <w:t>$15,757,573.9</w:t>
            </w:r>
          </w:p>
        </w:tc>
        <w:tc>
          <w:tcPr>
            <w:tcW w:w="12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color w:val="000000"/>
              </w:rPr>
            </w:pPr>
            <w:r>
              <w:rPr>
                <w:color w:val="000000"/>
              </w:rPr>
              <w:t>$2,176.2</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36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color w:val="000000"/>
              </w:rPr>
              <w:t>Total Fees Previously Paid</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48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color w:val="000000"/>
              </w:rPr>
            </w:pPr>
            <w:r>
              <w:rPr>
                <w:color w:val="000000"/>
              </w:rPr>
              <w:t>$2,176.2</w:t>
            </w:r>
          </w:p>
        </w:tc>
      </w:tr>
      <w:tr>
        <w:trPr/>
        <w:tc>
          <w:tcPr>
            <w:tcW w:w="112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369"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color w:val="000000"/>
              </w:rPr>
              <w:t>Total Fee Offsets</w:t>
            </w:r>
            <w:r>
              <w:rPr/>
              <w:t xml:space="preserve"> </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$0</w:t>
            </w:r>
            <w:r>
              <w:rPr/>
              <w:t xml:space="preserve"> </w:t>
            </w:r>
          </w:p>
        </w:tc>
      </w:tr>
      <w:tr>
        <w:trPr/>
        <w:tc>
          <w:tcPr>
            <w:tcW w:w="112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369"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color w:val="000000"/>
              </w:rPr>
              <w:t>Net Fee Due</w:t>
            </w:r>
            <w:r>
              <w:rPr/>
              <w:t xml:space="preserve"> </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48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24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$0</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54"/>
        <w:gridCol w:w="9851"/>
      </w:tblGrid>
      <w:tr>
        <w:trPr/>
        <w:tc>
          <w:tcPr>
            <w:tcW w:w="354" w:type="dxa"/>
            <w:tcBorders/>
            <w:vAlign w:val="center"/>
          </w:tcPr>
          <w:p>
            <w:pPr>
              <w:pStyle w:val="TableContents"/>
              <w:bidi w:val="0"/>
              <w:spacing w:before="0" w:after="283"/>
              <w:jc w:val="left"/>
              <w:rPr/>
            </w:pPr>
            <w:r>
              <w:rPr/>
              <w:t> </w:t>
            </w:r>
          </w:p>
        </w:tc>
        <w:tc>
          <w:tcPr>
            <w:tcW w:w="9851" w:type="dxa"/>
            <w:tcBorders/>
            <w:vAlign w:val="center"/>
          </w:tcPr>
          <w:p>
            <w:pPr>
              <w:pStyle w:val="TableContents"/>
              <w:bidi w:val="0"/>
              <w:spacing w:before="0" w:after="283"/>
              <w:jc w:val="left"/>
              <w:rPr/>
            </w:pPr>
            <w:r>
              <w:rPr/>
              <w:t> </w:t>
            </w:r>
          </w:p>
        </w:tc>
      </w:tr>
      <w:tr>
        <w:trPr/>
        <w:tc>
          <w:tcPr>
            <w:tcW w:w="354"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(1) </w:t>
            </w:r>
          </w:p>
        </w:tc>
        <w:tc>
          <w:tcPr>
            <w:tcW w:w="9851"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Estimated solely for the purpose of determining the amount of registration fee in accordance with Rule 457(o) under the Securities Act of 1933, as amended (the “Securities Act”). </w:t>
            </w:r>
          </w:p>
        </w:tc>
      </w:tr>
    </w:tbl>
    <w:tbl>
      <w:tblPr>
        <w:tblW w:w="10205" w:type="dxa"/>
        <w:jc w:val="left"/>
        <w:tblInd w:w="0" w:type="dxa"/>
        <w:tblLayout w:type="fixed"/>
        <w:tblCellMar>
          <w:top w:w="28" w:type="dxa"/>
          <w:left w:w="28" w:type="dxa"/>
          <w:bottom w:w="28" w:type="dxa"/>
          <w:right w:w="28" w:type="dxa"/>
        </w:tblCellMar>
      </w:tblPr>
      <w:tblGrid>
        <w:gridCol w:w="338"/>
        <w:gridCol w:w="9867"/>
      </w:tblGrid>
      <w:tr>
        <w:trPr/>
        <w:tc>
          <w:tcPr>
            <w:tcW w:w="338" w:type="dxa"/>
            <w:tcBorders/>
            <w:vAlign w:val="center"/>
          </w:tcPr>
          <w:p>
            <w:pPr>
              <w:pStyle w:val="TableContents"/>
              <w:bidi w:val="0"/>
              <w:spacing w:before="0" w:after="283"/>
              <w:jc w:val="left"/>
              <w:rPr/>
            </w:pPr>
            <w:r>
              <w:rPr/>
              <w:t> </w:t>
            </w:r>
          </w:p>
        </w:tc>
        <w:tc>
          <w:tcPr>
            <w:tcW w:w="9867" w:type="dxa"/>
            <w:tcBorders/>
            <w:vAlign w:val="center"/>
          </w:tcPr>
          <w:p>
            <w:pPr>
              <w:pStyle w:val="TableContents"/>
              <w:bidi w:val="0"/>
              <w:spacing w:before="0" w:after="283"/>
              <w:jc w:val="left"/>
              <w:rPr/>
            </w:pPr>
            <w:r>
              <w:rPr/>
              <w:t> </w:t>
            </w:r>
          </w:p>
        </w:tc>
      </w:tr>
      <w:tr>
        <w:trPr/>
        <w:tc>
          <w:tcPr>
            <w:tcW w:w="338"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(2) </w:t>
            </w:r>
          </w:p>
        </w:tc>
        <w:tc>
          <w:tcPr>
            <w:tcW w:w="9867" w:type="dxa"/>
            <w:tcBorders/>
            <w:tcMar>
              <w:top w:w="0" w:type="dxa"/>
              <w:left w:w="0" w:type="dxa"/>
              <w:bottom w:w="0" w:type="dxa"/>
              <w:right w:w="0" w:type="dxa"/>
            </w:tcMar>
            <w:vAlign w:val="center"/>
          </w:tcPr>
          <w:p>
            <w:pPr>
              <w:pStyle w:val="TableContents"/>
              <w:bidi w:val="0"/>
              <w:spacing w:before="0" w:after="80"/>
              <w:jc w:val="left"/>
              <w:rPr>
                <w:sz w:val="20"/>
              </w:rPr>
            </w:pPr>
            <w:r>
              <w:rPr>
                <w:sz w:val="20"/>
              </w:rPr>
              <w:t xml:space="preserve">In accordance with Rule 416, the Registrant is also registering an indeterminate number of additional ordinary shares that shall be issuable after the date hereof as a result of share splits, share dividends, or similar transactions.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hyperlink" Target="https://www.sec.gov/ix?doc=/Archives/edgar/data/1987363/000114036125027147/ef20052125_20f.htm" TargetMode="External"/><Relationship Id="rId12" Type="http://schemas.openxmlformats.org/officeDocument/2006/relationships/hyperlink" Target="https://www.sec.gov/Archives/edgar/data/1987363/000114036125030795/ef20053563_6k.htm" TargetMode="External"/><Relationship Id="rId13" Type="http://schemas.openxmlformats.org/officeDocument/2006/relationships/hyperlink" Target="https://www.sec.gov/Archives/edgar/data/1987363/000114036126002704/ef20064142_6k.htm" TargetMode="External"/><Relationship Id="rId14" Type="http://schemas.openxmlformats.org/officeDocument/2006/relationships/hyperlink" Target="https://www.sec.gov/Archives/edgar/data/1987363/000114036126015934/ef20071031_6k.htm" TargetMode="External"/><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hyperlink" Target="https://www.sec.gov/Archives/edgar/data/1987363/000114036124047668/ny20017183x6_ex3-2.htm" TargetMode="External"/><Relationship Id="rId18" Type="http://schemas.openxmlformats.org/officeDocument/2006/relationships/hyperlink" Target="https://www.sec.gov/Archives/edgar/data/1987363/000114036124047668/ny20017183x6_ex4-1.htm" TargetMode="External"/><Relationship Id="rId19" Type="http://schemas.openxmlformats.org/officeDocument/2006/relationships/hyperlink" Target="https://www.sec.gov/Archives/edgar/data/1987363/000114036125008841/ny20017183x10_ex4-2.htm" TargetMode="External"/><Relationship Id="rId20" Type="http://schemas.openxmlformats.org/officeDocument/2006/relationships/hyperlink" Target="https://www.sec.gov/Archives/edgar/data/1987363/000114036124047668/ny20017183x6_ex10-1.htm" TargetMode="External"/><Relationship Id="rId21" Type="http://schemas.openxmlformats.org/officeDocument/2006/relationships/hyperlink" Target="https://www.sec.gov/Archives/edgar/data/1987363/000114036124047668/ny20017183x6_ex10-2.htm" TargetMode="External"/><Relationship Id="rId22" Type="http://schemas.openxmlformats.org/officeDocument/2006/relationships/hyperlink" Target="https://www.sec.gov/Archives/edgar/data/1987363/000114036125003577/ny20017183x8_ex10-6.htm" TargetMode="External"/><Relationship Id="rId23" Type="http://schemas.openxmlformats.org/officeDocument/2006/relationships/hyperlink" Target="https://www.sec.gov/Archives/edgar/data/1987363/000114036124047668/ny20017183x6_ex16-1.htm" TargetMode="External"/><Relationship Id="rId24" Type="http://schemas.openxmlformats.org/officeDocument/2006/relationships/hyperlink" Target="https://www.sec.gov/Archives/edgar/data/1987363/000114036124047668/ny20017183x6_ex14-1.htm" TargetMode="External"/><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72979</Words>
  <Characters>398160</Characters>
  <CharactersWithSpaces>473296</CharactersWithSpaces>
  <Paragraphs>6745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